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F0" w:rsidRPr="0039044C" w:rsidRDefault="0000677A" w:rsidP="00E81568">
      <w:pPr>
        <w:pStyle w:val="Titre2"/>
        <w:tabs>
          <w:tab w:val="clear" w:pos="6379"/>
          <w:tab w:val="left" w:pos="5954"/>
        </w:tabs>
        <w:ind w:left="-142" w:right="-200"/>
        <w:jc w:val="left"/>
        <w:rPr>
          <w:sz w:val="22"/>
          <w:szCs w:val="22"/>
        </w:rPr>
      </w:pPr>
      <w:r w:rsidRPr="001D3419">
        <w:rPr>
          <w:noProof/>
          <w:sz w:val="24"/>
          <w:szCs w:val="24"/>
        </w:rPr>
        <w:drawing>
          <wp:inline distT="0" distB="0" distL="0" distR="0">
            <wp:extent cx="1609725" cy="8001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800100"/>
                    </a:xfrm>
                    <a:prstGeom prst="rect">
                      <a:avLst/>
                    </a:prstGeom>
                    <a:noFill/>
                    <a:ln>
                      <a:noFill/>
                    </a:ln>
                  </pic:spPr>
                </pic:pic>
              </a:graphicData>
            </a:graphic>
          </wp:inline>
        </w:drawing>
      </w:r>
      <w:r w:rsidR="0039044C">
        <w:rPr>
          <w:sz w:val="24"/>
          <w:szCs w:val="24"/>
        </w:rPr>
        <w:t xml:space="preserve">                     </w:t>
      </w:r>
      <w:bookmarkStart w:id="0" w:name="_GoBack"/>
      <w:bookmarkEnd w:id="0"/>
      <w:r w:rsidR="0039044C">
        <w:rPr>
          <w:sz w:val="24"/>
          <w:szCs w:val="24"/>
        </w:rPr>
        <w:t xml:space="preserve">                                 </w:t>
      </w:r>
    </w:p>
    <w:p w:rsidR="00D14B83" w:rsidRPr="00BB0DB7" w:rsidRDefault="009B5637" w:rsidP="00D14B83">
      <w:pPr>
        <w:jc w:val="both"/>
        <w:rPr>
          <w:rFonts w:ascii="Calibri" w:hAnsi="Calibri"/>
          <w:i/>
          <w:iCs/>
          <w:sz w:val="22"/>
          <w:szCs w:val="22"/>
        </w:rPr>
      </w:pPr>
      <w:r w:rsidRPr="00D14B83">
        <w:rPr>
          <w:rFonts w:ascii="Arial" w:eastAsia="Calibri" w:hAnsi="Arial" w:cs="Arial"/>
          <w:i/>
          <w:color w:val="808080"/>
        </w:rPr>
        <w:t>Lieudit</w:t>
      </w:r>
      <w:r w:rsidR="00D14B83" w:rsidRPr="00D14B83">
        <w:rPr>
          <w:rFonts w:ascii="Arial" w:eastAsia="Calibri" w:hAnsi="Arial" w:cs="Arial"/>
          <w:i/>
          <w:color w:val="808080"/>
        </w:rPr>
        <w:t xml:space="preserve"> La Croix de </w:t>
      </w:r>
      <w:proofErr w:type="spellStart"/>
      <w:r w:rsidR="00D14B83" w:rsidRPr="00D14B83">
        <w:rPr>
          <w:rFonts w:ascii="Arial" w:eastAsia="Calibri" w:hAnsi="Arial" w:cs="Arial"/>
          <w:i/>
          <w:color w:val="808080"/>
        </w:rPr>
        <w:t>Biolet</w:t>
      </w:r>
      <w:proofErr w:type="spellEnd"/>
      <w:r w:rsidR="00BB0DB7">
        <w:rPr>
          <w:rFonts w:ascii="Arial" w:eastAsia="Calibri" w:hAnsi="Arial" w:cs="Arial"/>
          <w:i/>
          <w:color w:val="808080"/>
        </w:rPr>
        <w:t xml:space="preserve">                                                           </w:t>
      </w:r>
    </w:p>
    <w:p w:rsidR="00D14B83" w:rsidRPr="00BB0DB7" w:rsidRDefault="00D14B83" w:rsidP="00D14B83">
      <w:pPr>
        <w:jc w:val="both"/>
        <w:rPr>
          <w:rFonts w:ascii="Arial" w:eastAsia="Calibri" w:hAnsi="Arial" w:cs="Arial"/>
          <w:i/>
          <w:color w:val="808080"/>
        </w:rPr>
      </w:pPr>
      <w:r w:rsidRPr="00BB0DB7">
        <w:rPr>
          <w:rFonts w:ascii="Arial" w:eastAsia="Calibri" w:hAnsi="Arial" w:cs="Arial"/>
          <w:i/>
          <w:color w:val="808080"/>
        </w:rPr>
        <w:t>RD62</w:t>
      </w:r>
      <w:r w:rsidR="00BB0DB7">
        <w:rPr>
          <w:rFonts w:ascii="Arial" w:eastAsia="Calibri" w:hAnsi="Arial" w:cs="Arial"/>
          <w:i/>
          <w:color w:val="808080"/>
        </w:rPr>
        <w:t xml:space="preserve">                                                                                       </w:t>
      </w:r>
    </w:p>
    <w:p w:rsidR="00D14B83" w:rsidRPr="00BB0DB7" w:rsidRDefault="00D14B83" w:rsidP="00D14B83">
      <w:pPr>
        <w:pStyle w:val="Retraitnormal"/>
        <w:rPr>
          <w:rFonts w:ascii="Arial" w:eastAsia="Calibri" w:hAnsi="Arial" w:cs="Arial"/>
          <w:i/>
          <w:color w:val="808080"/>
          <w:sz w:val="20"/>
        </w:rPr>
      </w:pPr>
      <w:r w:rsidRPr="00BB0DB7">
        <w:rPr>
          <w:rFonts w:ascii="Arial" w:eastAsia="Calibri" w:hAnsi="Arial" w:cs="Arial"/>
          <w:i/>
          <w:color w:val="808080"/>
          <w:sz w:val="20"/>
        </w:rPr>
        <w:t>63780 Saint-Georges de Mons</w:t>
      </w:r>
      <w:r w:rsidR="00BB0DB7" w:rsidRPr="00BB0DB7">
        <w:rPr>
          <w:rFonts w:ascii="Arial" w:eastAsia="Calibri" w:hAnsi="Arial" w:cs="Arial"/>
          <w:i/>
          <w:color w:val="808080"/>
          <w:sz w:val="20"/>
        </w:rPr>
        <w:t xml:space="preserve">                 </w:t>
      </w:r>
      <w:r w:rsidR="00BB0DB7">
        <w:rPr>
          <w:rFonts w:ascii="Arial" w:eastAsia="Calibri" w:hAnsi="Arial" w:cs="Arial"/>
          <w:i/>
          <w:color w:val="808080"/>
          <w:sz w:val="20"/>
        </w:rPr>
        <w:t xml:space="preserve">                                 </w:t>
      </w:r>
    </w:p>
    <w:p w:rsidR="00D14B83" w:rsidRDefault="00D14B83" w:rsidP="00E400FB">
      <w:pPr>
        <w:pStyle w:val="Retraitnormal"/>
        <w:spacing w:line="0" w:lineRule="atLeast"/>
      </w:pPr>
      <w:r w:rsidRPr="00D14B83">
        <w:rPr>
          <w:rFonts w:ascii="Arial" w:eastAsia="Calibri" w:hAnsi="Arial" w:cs="Arial"/>
          <w:i/>
          <w:color w:val="808080"/>
          <w:sz w:val="20"/>
        </w:rPr>
        <w:t xml:space="preserve">Accueil : 04 73 33 46 </w:t>
      </w:r>
      <w:r w:rsidR="000E7F8F">
        <w:rPr>
          <w:rFonts w:ascii="Arial" w:eastAsia="Calibri" w:hAnsi="Arial" w:cs="Arial"/>
          <w:i/>
          <w:color w:val="808080"/>
          <w:sz w:val="20"/>
        </w:rPr>
        <w:t>10</w:t>
      </w:r>
    </w:p>
    <w:p w:rsidR="0003357D" w:rsidRPr="006A1B2A" w:rsidRDefault="00C2559F" w:rsidP="00C777FE">
      <w:pPr>
        <w:pStyle w:val="Retraitnormal"/>
        <w:jc w:val="right"/>
        <w:rPr>
          <w:b/>
          <w:bCs/>
          <w:lang w:val="en-US"/>
        </w:rPr>
      </w:pPr>
      <w:proofErr w:type="spellStart"/>
      <w:r w:rsidRPr="006A1B2A">
        <w:rPr>
          <w:b/>
          <w:bCs/>
          <w:lang w:val="en-US"/>
        </w:rPr>
        <w:t>Mr</w:t>
      </w:r>
      <w:proofErr w:type="spellEnd"/>
      <w:r w:rsidRPr="006A1B2A">
        <w:rPr>
          <w:b/>
          <w:bCs/>
          <w:lang w:val="en-US"/>
        </w:rPr>
        <w:t xml:space="preserve"> Didier GENEAU</w:t>
      </w:r>
    </w:p>
    <w:p w:rsidR="00C777FE" w:rsidRPr="006A1B2A" w:rsidRDefault="00C777FE" w:rsidP="00C777FE">
      <w:pPr>
        <w:pStyle w:val="Retraitnormal"/>
        <w:jc w:val="right"/>
        <w:rPr>
          <w:lang w:val="en-US"/>
        </w:rPr>
      </w:pPr>
      <w:r w:rsidRPr="006A1B2A">
        <w:rPr>
          <w:lang w:val="en-US"/>
        </w:rPr>
        <w:t xml:space="preserve">Sales Director </w:t>
      </w:r>
      <w:proofErr w:type="spellStart"/>
      <w:r w:rsidRPr="006A1B2A">
        <w:rPr>
          <w:lang w:val="en-US"/>
        </w:rPr>
        <w:t>Forgital</w:t>
      </w:r>
      <w:proofErr w:type="spellEnd"/>
      <w:r w:rsidRPr="006A1B2A">
        <w:rPr>
          <w:lang w:val="en-US"/>
        </w:rPr>
        <w:t xml:space="preserve"> FMDL</w:t>
      </w:r>
    </w:p>
    <w:p w:rsidR="00C777FE" w:rsidRDefault="00C777FE" w:rsidP="00C777FE">
      <w:pPr>
        <w:pStyle w:val="Retraitnormal"/>
        <w:jc w:val="right"/>
      </w:pPr>
      <w:r>
        <w:t>48 Boulevard d’Auvergne,</w:t>
      </w:r>
    </w:p>
    <w:p w:rsidR="00C777FE" w:rsidRDefault="00C777FE" w:rsidP="00C777FE">
      <w:pPr>
        <w:pStyle w:val="Retraitnormal"/>
        <w:jc w:val="right"/>
      </w:pPr>
      <w:r>
        <w:t>42500 Le Chambon-Feugerolles</w:t>
      </w:r>
    </w:p>
    <w:p w:rsidR="00BA32DB" w:rsidRDefault="00BA32DB" w:rsidP="00C777FE">
      <w:pPr>
        <w:pStyle w:val="Retraitnormal"/>
        <w:jc w:val="right"/>
      </w:pPr>
    </w:p>
    <w:p w:rsidR="00BA32DB" w:rsidRDefault="00C777FE" w:rsidP="00C777FE">
      <w:pPr>
        <w:pStyle w:val="Retraitnormal"/>
        <w:jc w:val="right"/>
      </w:pPr>
      <w:r>
        <w:t>Copie :</w:t>
      </w:r>
    </w:p>
    <w:p w:rsidR="00C777FE" w:rsidRDefault="00C777FE" w:rsidP="00C777FE">
      <w:pPr>
        <w:pStyle w:val="Retraitnormal"/>
        <w:jc w:val="right"/>
      </w:pPr>
    </w:p>
    <w:p w:rsidR="00C777FE" w:rsidRPr="006A1B2A" w:rsidRDefault="00C777FE" w:rsidP="00C777FE">
      <w:pPr>
        <w:pStyle w:val="Retraitnormal"/>
        <w:jc w:val="right"/>
        <w:rPr>
          <w:lang w:val="en-US"/>
        </w:rPr>
      </w:pPr>
      <w:proofErr w:type="spellStart"/>
      <w:r w:rsidRPr="006A1B2A">
        <w:rPr>
          <w:b/>
          <w:bCs/>
          <w:lang w:val="en-US"/>
        </w:rPr>
        <w:t>Mr</w:t>
      </w:r>
      <w:proofErr w:type="spellEnd"/>
      <w:r w:rsidRPr="006A1B2A">
        <w:rPr>
          <w:b/>
          <w:bCs/>
          <w:lang w:val="en-US"/>
        </w:rPr>
        <w:t xml:space="preserve"> </w:t>
      </w:r>
      <w:proofErr w:type="spellStart"/>
      <w:r w:rsidRPr="006A1B2A">
        <w:rPr>
          <w:b/>
          <w:bCs/>
          <w:lang w:val="en-US"/>
        </w:rPr>
        <w:t>Benoît</w:t>
      </w:r>
      <w:proofErr w:type="spellEnd"/>
      <w:r w:rsidRPr="006A1B2A">
        <w:rPr>
          <w:b/>
          <w:bCs/>
          <w:lang w:val="en-US"/>
        </w:rPr>
        <w:t xml:space="preserve"> JUNG</w:t>
      </w:r>
      <w:r w:rsidRPr="006A1B2A">
        <w:rPr>
          <w:lang w:val="en-US"/>
        </w:rPr>
        <w:t>,</w:t>
      </w:r>
    </w:p>
    <w:p w:rsidR="00C777FE" w:rsidRPr="006A1B2A" w:rsidRDefault="00C777FE" w:rsidP="00C777FE">
      <w:pPr>
        <w:jc w:val="right"/>
        <w:rPr>
          <w:sz w:val="24"/>
          <w:lang w:val="en-US"/>
        </w:rPr>
      </w:pPr>
      <w:r w:rsidRPr="006A1B2A">
        <w:rPr>
          <w:sz w:val="24"/>
          <w:lang w:val="en-US"/>
        </w:rPr>
        <w:t>Purchasing Manager</w:t>
      </w:r>
    </w:p>
    <w:p w:rsidR="00C777FE" w:rsidRPr="006A1B2A" w:rsidRDefault="00C777FE" w:rsidP="00C777FE">
      <w:pPr>
        <w:jc w:val="right"/>
        <w:rPr>
          <w:sz w:val="24"/>
          <w:lang w:val="en-US"/>
        </w:rPr>
      </w:pPr>
      <w:r w:rsidRPr="006A1B2A">
        <w:rPr>
          <w:sz w:val="24"/>
          <w:lang w:val="en-US"/>
        </w:rPr>
        <w:t>Raw Material for Forging &amp; Casting</w:t>
      </w:r>
    </w:p>
    <w:p w:rsidR="00C777FE" w:rsidRPr="006A1B2A" w:rsidRDefault="00C777FE" w:rsidP="00C777FE">
      <w:pPr>
        <w:jc w:val="right"/>
        <w:rPr>
          <w:sz w:val="24"/>
          <w:lang w:val="en-US"/>
        </w:rPr>
      </w:pPr>
      <w:r w:rsidRPr="006A1B2A">
        <w:rPr>
          <w:sz w:val="24"/>
          <w:lang w:val="en-US"/>
        </w:rPr>
        <w:t>171, boulevard de Valmy</w:t>
      </w:r>
    </w:p>
    <w:p w:rsidR="00C777FE" w:rsidRPr="006A1B2A" w:rsidRDefault="00C777FE" w:rsidP="00C777FE">
      <w:pPr>
        <w:pStyle w:val="Retraitnormal"/>
        <w:jc w:val="right"/>
        <w:rPr>
          <w:lang w:val="en-US"/>
        </w:rPr>
      </w:pPr>
      <w:r w:rsidRPr="006A1B2A">
        <w:rPr>
          <w:lang w:val="en-US"/>
        </w:rPr>
        <w:t>92700 Colombes - France</w:t>
      </w:r>
    </w:p>
    <w:p w:rsidR="00BA32DB" w:rsidRPr="00C777FE" w:rsidRDefault="00BA32DB" w:rsidP="00D14B83">
      <w:pPr>
        <w:pStyle w:val="Retraitnormal"/>
        <w:rPr>
          <w:lang w:val="en-US"/>
        </w:rPr>
      </w:pPr>
    </w:p>
    <w:p w:rsidR="00BA32DB" w:rsidRPr="00C777FE" w:rsidRDefault="00BA32DB" w:rsidP="00D14B83">
      <w:pPr>
        <w:pStyle w:val="Retraitnormal"/>
        <w:rPr>
          <w:lang w:val="en-US"/>
        </w:rPr>
      </w:pPr>
    </w:p>
    <w:p w:rsidR="00BA32DB" w:rsidRPr="00C777FE" w:rsidRDefault="00BA32DB" w:rsidP="00D14B83">
      <w:pPr>
        <w:pStyle w:val="Retraitnormal"/>
        <w:rPr>
          <w:lang w:val="en-US"/>
        </w:rPr>
      </w:pPr>
    </w:p>
    <w:p w:rsidR="00C2559F" w:rsidRPr="00C2559F" w:rsidRDefault="00C2559F" w:rsidP="00C2559F">
      <w:pPr>
        <w:rPr>
          <w:sz w:val="24"/>
          <w:szCs w:val="24"/>
          <w:lang w:val="en-US"/>
        </w:rPr>
      </w:pPr>
      <w:r w:rsidRPr="00C2559F">
        <w:rPr>
          <w:sz w:val="24"/>
          <w:szCs w:val="24"/>
          <w:lang w:val="en-US"/>
        </w:rPr>
        <w:t>Object: Indemnification in relation to the Boeing 737 Max program suspension.</w:t>
      </w: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r w:rsidRPr="00C2559F">
        <w:rPr>
          <w:sz w:val="24"/>
          <w:szCs w:val="24"/>
          <w:lang w:val="en-US"/>
        </w:rPr>
        <w:t>Dear Sir,</w:t>
      </w: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jc w:val="both"/>
        <w:rPr>
          <w:sz w:val="24"/>
          <w:szCs w:val="24"/>
          <w:lang w:val="it-IT"/>
        </w:rPr>
      </w:pPr>
      <w:r w:rsidRPr="00C2559F">
        <w:rPr>
          <w:sz w:val="24"/>
          <w:szCs w:val="24"/>
          <w:lang w:val="en-US"/>
        </w:rPr>
        <w:t xml:space="preserve">We revert to you following your email dated January 8, 2020, whereby you inform UKAD of Boeing’s decision to suspend production on the </w:t>
      </w:r>
      <w:r w:rsidRPr="00C2559F">
        <w:rPr>
          <w:sz w:val="24"/>
          <w:szCs w:val="24"/>
          <w:lang w:val="en-GB"/>
        </w:rPr>
        <w:t xml:space="preserve">Boeing </w:t>
      </w:r>
      <w:r w:rsidRPr="00C2559F">
        <w:rPr>
          <w:sz w:val="24"/>
          <w:szCs w:val="24"/>
          <w:lang w:val="en-US"/>
        </w:rPr>
        <w:t xml:space="preserve">737 MAX, and subsequent notifications you received from </w:t>
      </w:r>
      <w:proofErr w:type="spellStart"/>
      <w:r w:rsidRPr="00C2559F">
        <w:rPr>
          <w:sz w:val="24"/>
          <w:szCs w:val="24"/>
          <w:lang w:val="en-US"/>
        </w:rPr>
        <w:t>Safran</w:t>
      </w:r>
      <w:proofErr w:type="spellEnd"/>
      <w:r w:rsidRPr="00C2559F">
        <w:rPr>
          <w:sz w:val="24"/>
          <w:szCs w:val="24"/>
          <w:lang w:val="en-US"/>
        </w:rPr>
        <w:t xml:space="preserve"> </w:t>
      </w:r>
      <w:proofErr w:type="spellStart"/>
      <w:r w:rsidRPr="00C2559F">
        <w:rPr>
          <w:sz w:val="24"/>
          <w:szCs w:val="24"/>
          <w:lang w:val="en-US"/>
        </w:rPr>
        <w:t>Aicraft</w:t>
      </w:r>
      <w:proofErr w:type="spellEnd"/>
      <w:r w:rsidRPr="00C2559F">
        <w:rPr>
          <w:sz w:val="24"/>
          <w:szCs w:val="24"/>
          <w:lang w:val="en-US"/>
        </w:rPr>
        <w:t xml:space="preserve"> Engines (SAE), with request that the 2020 orders are put “ON HOLD”, and </w:t>
      </w:r>
      <w:r w:rsidRPr="00C2559F">
        <w:rPr>
          <w:sz w:val="24"/>
          <w:szCs w:val="24"/>
          <w:lang w:val="en-GB"/>
        </w:rPr>
        <w:t xml:space="preserve">material deliveries must be suspended until </w:t>
      </w:r>
      <w:proofErr w:type="spellStart"/>
      <w:r w:rsidRPr="00C2559F">
        <w:rPr>
          <w:sz w:val="24"/>
          <w:szCs w:val="24"/>
          <w:lang w:val="en-GB"/>
        </w:rPr>
        <w:t>Forgital</w:t>
      </w:r>
      <w:proofErr w:type="spellEnd"/>
      <w:r w:rsidRPr="00C2559F">
        <w:rPr>
          <w:sz w:val="24"/>
          <w:szCs w:val="24"/>
          <w:lang w:val="en-GB"/>
        </w:rPr>
        <w:t xml:space="preserve"> new disposition.</w:t>
      </w:r>
    </w:p>
    <w:p w:rsidR="00C2559F" w:rsidRPr="00C2559F" w:rsidRDefault="00C2559F" w:rsidP="00C2559F">
      <w:pPr>
        <w:jc w:val="both"/>
        <w:rPr>
          <w:sz w:val="24"/>
          <w:szCs w:val="24"/>
          <w:lang w:val="en-US"/>
        </w:rPr>
      </w:pPr>
      <w:r w:rsidRPr="00C2559F">
        <w:rPr>
          <w:sz w:val="24"/>
          <w:szCs w:val="24"/>
          <w:lang w:val="en-US"/>
        </w:rPr>
        <w:t xml:space="preserve">First of all, and as per your request, we hereby confirm that the manufacturing and delivery of the UKAD products have effectively </w:t>
      </w:r>
      <w:proofErr w:type="gramStart"/>
      <w:r w:rsidRPr="00C2559F">
        <w:rPr>
          <w:sz w:val="24"/>
          <w:szCs w:val="24"/>
          <w:lang w:val="en-US"/>
        </w:rPr>
        <w:t>be</w:t>
      </w:r>
      <w:proofErr w:type="gramEnd"/>
      <w:r w:rsidRPr="00C2559F">
        <w:rPr>
          <w:sz w:val="24"/>
          <w:szCs w:val="24"/>
          <w:lang w:val="en-US"/>
        </w:rPr>
        <w:t xml:space="preserve"> put on hold.</w:t>
      </w:r>
    </w:p>
    <w:p w:rsidR="00C2559F" w:rsidRPr="00C2559F" w:rsidRDefault="00C2559F" w:rsidP="00C2559F">
      <w:pPr>
        <w:jc w:val="both"/>
        <w:rPr>
          <w:sz w:val="24"/>
          <w:szCs w:val="24"/>
          <w:lang w:val="en-US"/>
        </w:rPr>
      </w:pPr>
      <w:r w:rsidRPr="00C2559F">
        <w:rPr>
          <w:sz w:val="24"/>
          <w:szCs w:val="24"/>
          <w:lang w:val="en-US"/>
        </w:rPr>
        <w:t xml:space="preserve">As already - but not officially- explained, this decision has substantial consequences for UKAD, that need to be addressed in a consensual manner and in line with the contractual obligations of UKAD, </w:t>
      </w:r>
      <w:proofErr w:type="spellStart"/>
      <w:r w:rsidRPr="00C2559F">
        <w:rPr>
          <w:sz w:val="24"/>
          <w:szCs w:val="24"/>
          <w:lang w:val="en-US"/>
        </w:rPr>
        <w:t>Forgital</w:t>
      </w:r>
      <w:proofErr w:type="spellEnd"/>
      <w:r w:rsidRPr="00C2559F">
        <w:rPr>
          <w:sz w:val="24"/>
          <w:szCs w:val="24"/>
          <w:lang w:val="en-US"/>
        </w:rPr>
        <w:t xml:space="preserve"> and SAE.</w:t>
      </w:r>
    </w:p>
    <w:p w:rsidR="00C2559F" w:rsidRPr="00C2559F" w:rsidRDefault="00C2559F" w:rsidP="00C2559F">
      <w:pPr>
        <w:rPr>
          <w:sz w:val="24"/>
          <w:szCs w:val="24"/>
          <w:lang w:val="en-US"/>
        </w:rPr>
      </w:pPr>
    </w:p>
    <w:p w:rsidR="00C2559F" w:rsidRPr="00C2559F" w:rsidRDefault="00C2559F" w:rsidP="00C2559F">
      <w:pPr>
        <w:jc w:val="both"/>
        <w:rPr>
          <w:sz w:val="24"/>
          <w:szCs w:val="24"/>
          <w:lang w:val="en-US"/>
        </w:rPr>
      </w:pPr>
      <w:r w:rsidRPr="00C2559F">
        <w:rPr>
          <w:sz w:val="24"/>
          <w:szCs w:val="24"/>
          <w:lang w:val="en-US"/>
        </w:rPr>
        <w:t xml:space="preserve">In this regard, we would like to point out that UKAD signed a long-term agreement (LTA) with SAE, under which: </w:t>
      </w:r>
    </w:p>
    <w:p w:rsidR="00C2559F" w:rsidRPr="00C777FE" w:rsidRDefault="00C2559F" w:rsidP="00C2559F">
      <w:pPr>
        <w:pStyle w:val="Paragraphedeliste"/>
        <w:numPr>
          <w:ilvl w:val="0"/>
          <w:numId w:val="5"/>
        </w:numPr>
        <w:jc w:val="both"/>
        <w:rPr>
          <w:sz w:val="24"/>
          <w:szCs w:val="24"/>
          <w:lang w:val="en-US"/>
        </w:rPr>
      </w:pPr>
      <w:r w:rsidRPr="00C777FE">
        <w:rPr>
          <w:sz w:val="24"/>
          <w:szCs w:val="28"/>
          <w:lang w:val="en-US"/>
        </w:rPr>
        <w:t xml:space="preserve">“SAFRAN and UKAD have entered into discussion in order to set forth the terms and conditions under which UKAD and/or its Affiliates will provide SAFRAN Group </w:t>
      </w:r>
      <w:r w:rsidRPr="00C777FE">
        <w:rPr>
          <w:b/>
          <w:bCs/>
          <w:sz w:val="24"/>
          <w:szCs w:val="28"/>
          <w:lang w:val="en-US"/>
        </w:rPr>
        <w:t>Companies and their subcontractors</w:t>
      </w:r>
      <w:r w:rsidRPr="00C777FE">
        <w:rPr>
          <w:sz w:val="24"/>
          <w:szCs w:val="28"/>
          <w:lang w:val="en-US"/>
        </w:rPr>
        <w:t xml:space="preserve"> (for the sole needs of SAFRAN Group Companies) with Materials”</w:t>
      </w:r>
    </w:p>
    <w:p w:rsidR="00C2559F" w:rsidRPr="00C777FE" w:rsidRDefault="00C2559F" w:rsidP="00C2559F">
      <w:pPr>
        <w:pStyle w:val="Paragraphedeliste"/>
        <w:numPr>
          <w:ilvl w:val="0"/>
          <w:numId w:val="5"/>
        </w:numPr>
        <w:jc w:val="both"/>
        <w:rPr>
          <w:sz w:val="24"/>
          <w:szCs w:val="24"/>
          <w:lang w:val="en-US"/>
        </w:rPr>
      </w:pPr>
      <w:r w:rsidRPr="00C777FE">
        <w:rPr>
          <w:sz w:val="24"/>
          <w:szCs w:val="24"/>
          <w:lang w:val="en-US"/>
        </w:rPr>
        <w:t xml:space="preserve">“Firm, Flexible and Estimated Periods” terms and conditions </w:t>
      </w:r>
      <w:r w:rsidRPr="00C777FE">
        <w:rPr>
          <w:b/>
          <w:bCs/>
          <w:sz w:val="24"/>
          <w:szCs w:val="24"/>
          <w:lang w:val="en-US"/>
        </w:rPr>
        <w:t>can be transferred to Safran Subcontractors</w:t>
      </w:r>
      <w:r w:rsidRPr="00C777FE">
        <w:rPr>
          <w:sz w:val="24"/>
          <w:szCs w:val="24"/>
          <w:lang w:val="en-US"/>
        </w:rPr>
        <w:t xml:space="preserve">, such as </w:t>
      </w:r>
      <w:proofErr w:type="spellStart"/>
      <w:r w:rsidRPr="00C777FE">
        <w:rPr>
          <w:sz w:val="24"/>
          <w:szCs w:val="24"/>
          <w:lang w:val="en-US"/>
        </w:rPr>
        <w:t>Forgital</w:t>
      </w:r>
      <w:proofErr w:type="spellEnd"/>
      <w:r w:rsidRPr="00C777FE">
        <w:rPr>
          <w:sz w:val="24"/>
          <w:szCs w:val="24"/>
          <w:lang w:val="en-US"/>
        </w:rPr>
        <w:t xml:space="preserve"> (Appendix 3 refer). </w:t>
      </w:r>
    </w:p>
    <w:p w:rsidR="00C2559F" w:rsidRPr="00C2559F" w:rsidRDefault="00C2559F" w:rsidP="00C2559F">
      <w:pPr>
        <w:jc w:val="both"/>
        <w:rPr>
          <w:sz w:val="24"/>
          <w:szCs w:val="24"/>
          <w:lang w:val="en-US"/>
        </w:rPr>
      </w:pPr>
      <w:r w:rsidRPr="00C2559F">
        <w:rPr>
          <w:sz w:val="24"/>
          <w:szCs w:val="24"/>
          <w:lang w:val="en-US"/>
        </w:rPr>
        <w:t>It is therefore established that, among others, the contractual commitments described in the said LTA apply to the present situation.</w:t>
      </w:r>
    </w:p>
    <w:p w:rsidR="00C2559F" w:rsidRDefault="00C2559F" w:rsidP="00C2559F">
      <w:pPr>
        <w:jc w:val="both"/>
        <w:rPr>
          <w:sz w:val="24"/>
          <w:szCs w:val="24"/>
          <w:lang w:val="it-IT"/>
        </w:rPr>
      </w:pPr>
      <w:r w:rsidRPr="00C2559F">
        <w:rPr>
          <w:sz w:val="24"/>
          <w:szCs w:val="24"/>
          <w:lang w:val="it-IT"/>
        </w:rPr>
        <w:lastRenderedPageBreak/>
        <w:t>Article 1.1.3 of the LTA stipulates that “</w:t>
      </w:r>
      <w:r w:rsidRPr="00C2559F">
        <w:rPr>
          <w:i/>
          <w:iCs/>
          <w:sz w:val="24"/>
          <w:szCs w:val="24"/>
          <w:lang w:val="it-IT"/>
        </w:rPr>
        <w:t xml:space="preserve">the Parties agree on the following definitions : Firm Period : define the period of time under which </w:t>
      </w:r>
      <w:r w:rsidRPr="00C2559F">
        <w:rPr>
          <w:b/>
          <w:bCs/>
          <w:i/>
          <w:iCs/>
          <w:sz w:val="24"/>
          <w:szCs w:val="24"/>
          <w:lang w:val="it-IT"/>
        </w:rPr>
        <w:t>the Purchaser undertakes to buy the Material</w:t>
      </w:r>
      <w:r w:rsidRPr="00C2559F">
        <w:rPr>
          <w:i/>
          <w:iCs/>
          <w:sz w:val="24"/>
          <w:szCs w:val="24"/>
          <w:lang w:val="it-IT"/>
        </w:rPr>
        <w:t xml:space="preserve"> according to the requirements of  an Order and/or a Purchase Program</w:t>
      </w:r>
      <w:r w:rsidRPr="00C2559F">
        <w:rPr>
          <w:sz w:val="24"/>
          <w:szCs w:val="24"/>
          <w:lang w:val="it-IT"/>
        </w:rPr>
        <w:t>.”</w:t>
      </w:r>
    </w:p>
    <w:p w:rsidR="00C777FE" w:rsidRPr="00C2559F" w:rsidRDefault="00C777FE" w:rsidP="00C2559F">
      <w:pPr>
        <w:jc w:val="both"/>
        <w:rPr>
          <w:sz w:val="24"/>
          <w:szCs w:val="24"/>
          <w:lang w:val="it-IT"/>
        </w:rPr>
      </w:pPr>
    </w:p>
    <w:p w:rsidR="00C2559F" w:rsidRDefault="00C2559F" w:rsidP="00C2559F">
      <w:pPr>
        <w:jc w:val="both"/>
        <w:rPr>
          <w:sz w:val="24"/>
          <w:szCs w:val="24"/>
          <w:lang w:val="it-IT"/>
        </w:rPr>
      </w:pPr>
      <w:r w:rsidRPr="00C2559F">
        <w:rPr>
          <w:sz w:val="24"/>
          <w:szCs w:val="24"/>
          <w:lang w:val="it-IT"/>
        </w:rPr>
        <w:t xml:space="preserve">The Forgital / SAE committment to buy stipulated in article 1.1.3 being improperly executed, we request that an advance payment corresponding to the firm period should be put in place within the best delays and in line with the already agreed payment terms, being understood that the firm period (18 weeks) corresponds to the following: </w:t>
      </w:r>
    </w:p>
    <w:p w:rsidR="00C2559F" w:rsidRPr="00C2559F" w:rsidRDefault="00C2559F" w:rsidP="00C2559F">
      <w:pPr>
        <w:jc w:val="both"/>
        <w:rPr>
          <w:sz w:val="24"/>
          <w:szCs w:val="24"/>
          <w:lang w:val="it-IT"/>
        </w:rPr>
      </w:pPr>
    </w:p>
    <w:p w:rsidR="00C2559F" w:rsidRPr="00C2559F" w:rsidRDefault="0000677A" w:rsidP="00C2559F">
      <w:pPr>
        <w:rPr>
          <w:sz w:val="24"/>
          <w:szCs w:val="24"/>
          <w:lang w:val="it-IT"/>
        </w:rPr>
      </w:pPr>
      <w:r w:rsidRPr="00C2559F">
        <w:rPr>
          <w:noProof/>
          <w:sz w:val="24"/>
          <w:szCs w:val="24"/>
        </w:rPr>
        <w:drawing>
          <wp:inline distT="0" distB="0" distL="0" distR="0">
            <wp:extent cx="4619625" cy="20669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066925"/>
                    </a:xfrm>
                    <a:prstGeom prst="rect">
                      <a:avLst/>
                    </a:prstGeom>
                    <a:noFill/>
                    <a:ln>
                      <a:noFill/>
                    </a:ln>
                  </pic:spPr>
                </pic:pic>
              </a:graphicData>
            </a:graphic>
          </wp:inline>
        </w:drawing>
      </w:r>
    </w:p>
    <w:p w:rsidR="00C2559F" w:rsidRPr="00C2559F" w:rsidRDefault="00C2559F" w:rsidP="00C2559F">
      <w:pPr>
        <w:jc w:val="both"/>
        <w:rPr>
          <w:sz w:val="24"/>
          <w:szCs w:val="24"/>
          <w:lang w:val="it-IT"/>
        </w:rPr>
      </w:pPr>
      <w:r w:rsidRPr="00C2559F">
        <w:rPr>
          <w:sz w:val="24"/>
          <w:szCs w:val="24"/>
          <w:lang w:val="it-IT"/>
        </w:rPr>
        <w:t>The abovementioned quantities correspond to a total price of 2,123 M$, based on the 2020 base price of 24,59 $ per kg.</w:t>
      </w:r>
    </w:p>
    <w:p w:rsidR="00C2559F" w:rsidRPr="00C2559F" w:rsidRDefault="00C2559F" w:rsidP="00C2559F">
      <w:pPr>
        <w:jc w:val="both"/>
        <w:rPr>
          <w:sz w:val="24"/>
          <w:szCs w:val="24"/>
          <w:lang w:val="it-IT"/>
        </w:rPr>
      </w:pPr>
    </w:p>
    <w:p w:rsidR="00C2559F" w:rsidRPr="00C2559F" w:rsidRDefault="00C2559F" w:rsidP="00C2559F">
      <w:pPr>
        <w:jc w:val="both"/>
        <w:rPr>
          <w:sz w:val="24"/>
          <w:szCs w:val="24"/>
          <w:lang w:val="it-IT"/>
        </w:rPr>
      </w:pPr>
      <w:r w:rsidRPr="00C2559F">
        <w:rPr>
          <w:sz w:val="24"/>
          <w:szCs w:val="24"/>
          <w:lang w:val="it-IT"/>
        </w:rPr>
        <w:t>Also, and as you might understand, UKAD has purchased material from sources in line with the flexible phase described in Appendix 2 and article 1.1 of the LTA, and also exchanged between us on a regular basis.</w:t>
      </w:r>
    </w:p>
    <w:p w:rsidR="00C2559F" w:rsidRDefault="00C2559F" w:rsidP="00C2559F">
      <w:pPr>
        <w:jc w:val="both"/>
        <w:rPr>
          <w:sz w:val="24"/>
          <w:szCs w:val="24"/>
          <w:lang w:val="it-IT"/>
        </w:rPr>
      </w:pPr>
      <w:r w:rsidRPr="00C2559F">
        <w:rPr>
          <w:sz w:val="24"/>
          <w:szCs w:val="24"/>
          <w:lang w:val="it-IT"/>
        </w:rPr>
        <w:t>In this regard, we would like to point out that :</w:t>
      </w:r>
    </w:p>
    <w:p w:rsidR="00C2559F" w:rsidRPr="00C2559F" w:rsidRDefault="00C2559F" w:rsidP="00C2559F">
      <w:pPr>
        <w:jc w:val="both"/>
        <w:rPr>
          <w:sz w:val="24"/>
          <w:szCs w:val="24"/>
          <w:lang w:val="it-IT"/>
        </w:rPr>
      </w:pPr>
    </w:p>
    <w:p w:rsidR="00C2559F" w:rsidRPr="00C2559F" w:rsidRDefault="00C2559F" w:rsidP="00C2559F">
      <w:pPr>
        <w:pStyle w:val="Paragraphedeliste"/>
        <w:numPr>
          <w:ilvl w:val="0"/>
          <w:numId w:val="5"/>
        </w:numPr>
        <w:jc w:val="both"/>
        <w:rPr>
          <w:sz w:val="28"/>
          <w:szCs w:val="28"/>
          <w:lang w:val="it-IT"/>
        </w:rPr>
      </w:pPr>
      <w:r w:rsidRPr="00C2559F">
        <w:rPr>
          <w:sz w:val="28"/>
          <w:szCs w:val="28"/>
          <w:lang w:val="it-IT"/>
        </w:rPr>
        <w:t xml:space="preserve"> Article 1.1.3 stipulates that:</w:t>
      </w:r>
    </w:p>
    <w:p w:rsidR="00C2559F" w:rsidRPr="00C2559F" w:rsidRDefault="00C2559F" w:rsidP="00C2559F">
      <w:pPr>
        <w:jc w:val="both"/>
        <w:rPr>
          <w:i/>
          <w:iCs/>
          <w:sz w:val="24"/>
          <w:szCs w:val="24"/>
          <w:lang w:val="it-IT"/>
        </w:rPr>
      </w:pPr>
      <w:r w:rsidRPr="00C2559F">
        <w:rPr>
          <w:i/>
          <w:iCs/>
          <w:sz w:val="24"/>
          <w:szCs w:val="24"/>
          <w:lang w:val="en-US"/>
        </w:rPr>
        <w:t>“In case the forecasted volume decreases between -10% and -30% during the Flexible period, the Parties acknowledge that the initially forecasted volumes will in any case be purchased by the Purchaser within 6 months from the beginning of the Flexible Period”</w:t>
      </w:r>
    </w:p>
    <w:p w:rsidR="00C2559F" w:rsidRPr="00C2559F" w:rsidRDefault="00C2559F" w:rsidP="00C2559F">
      <w:pPr>
        <w:pStyle w:val="Paragraphedeliste"/>
        <w:jc w:val="both"/>
        <w:rPr>
          <w:sz w:val="28"/>
          <w:szCs w:val="28"/>
          <w:lang w:val="it-IT"/>
        </w:rPr>
      </w:pPr>
    </w:p>
    <w:p w:rsidR="00C2559F" w:rsidRPr="00C2559F" w:rsidRDefault="00C2559F" w:rsidP="00C2559F">
      <w:pPr>
        <w:pStyle w:val="Paragraphedeliste"/>
        <w:numPr>
          <w:ilvl w:val="0"/>
          <w:numId w:val="5"/>
        </w:numPr>
        <w:jc w:val="both"/>
        <w:rPr>
          <w:sz w:val="28"/>
          <w:szCs w:val="28"/>
          <w:lang w:val="it-IT"/>
        </w:rPr>
      </w:pPr>
      <w:r w:rsidRPr="00C2559F">
        <w:rPr>
          <w:sz w:val="28"/>
          <w:szCs w:val="28"/>
          <w:lang w:val="it-IT"/>
        </w:rPr>
        <w:t>article 1.5.2 of the LTA stipulates that:</w:t>
      </w:r>
    </w:p>
    <w:p w:rsidR="00C2559F" w:rsidRPr="00C2559F" w:rsidRDefault="00C2559F" w:rsidP="00C2559F">
      <w:pPr>
        <w:jc w:val="both"/>
        <w:rPr>
          <w:i/>
          <w:iCs/>
          <w:sz w:val="24"/>
          <w:szCs w:val="24"/>
          <w:lang w:val="en-US"/>
        </w:rPr>
      </w:pPr>
      <w:r w:rsidRPr="00C2559F">
        <w:rPr>
          <w:i/>
          <w:iCs/>
          <w:sz w:val="24"/>
          <w:szCs w:val="24"/>
          <w:lang w:val="en-US"/>
        </w:rPr>
        <w:t>“Should one or more Materials be suppressed or modified at the initiative of SAFRAN, the Supplier shall establish a list of the existing stocks and work-in-process Materials and send it to the concerned Purchaser. The Supplier shall also examine any possibility to reallocate such stocks and work-in-process Materials subject to strict compliance with the supply obligation provisions.</w:t>
      </w:r>
    </w:p>
    <w:p w:rsidR="00C2559F" w:rsidRPr="00C2559F" w:rsidRDefault="00C2559F" w:rsidP="00C2559F">
      <w:pPr>
        <w:jc w:val="both"/>
        <w:rPr>
          <w:i/>
          <w:iCs/>
          <w:sz w:val="24"/>
          <w:szCs w:val="24"/>
          <w:lang w:val="en-US"/>
        </w:rPr>
      </w:pPr>
      <w:r w:rsidRPr="00C2559F">
        <w:rPr>
          <w:i/>
          <w:iCs/>
          <w:sz w:val="24"/>
          <w:szCs w:val="24"/>
          <w:lang w:val="en-US"/>
        </w:rPr>
        <w:t>If the stocks and work-in-process Materials cannot be reused, the concerned Purchaser shall recover them at prices calculated according to their state of advancement, insofar as they are within the Firm and Flexible Period.”</w:t>
      </w:r>
    </w:p>
    <w:p w:rsidR="00C2559F" w:rsidRDefault="00C2559F" w:rsidP="00C2559F">
      <w:pPr>
        <w:jc w:val="both"/>
        <w:rPr>
          <w:sz w:val="24"/>
          <w:szCs w:val="24"/>
          <w:lang w:val="en-US"/>
        </w:rPr>
      </w:pPr>
    </w:p>
    <w:p w:rsidR="00C2559F" w:rsidRDefault="00C2559F" w:rsidP="00C2559F">
      <w:pPr>
        <w:jc w:val="both"/>
        <w:rPr>
          <w:sz w:val="24"/>
          <w:szCs w:val="24"/>
          <w:lang w:val="en-US"/>
        </w:rPr>
      </w:pPr>
    </w:p>
    <w:p w:rsidR="00C2559F" w:rsidRPr="00C2559F" w:rsidRDefault="00C2559F" w:rsidP="00C2559F">
      <w:pPr>
        <w:jc w:val="both"/>
        <w:rPr>
          <w:sz w:val="24"/>
          <w:szCs w:val="24"/>
          <w:lang w:val="en-US"/>
        </w:rPr>
      </w:pPr>
      <w:r w:rsidRPr="00C2559F">
        <w:rPr>
          <w:sz w:val="24"/>
          <w:szCs w:val="24"/>
          <w:lang w:val="en-US"/>
        </w:rPr>
        <w:t xml:space="preserve">As </w:t>
      </w:r>
      <w:proofErr w:type="spellStart"/>
      <w:r w:rsidRPr="00C2559F">
        <w:rPr>
          <w:sz w:val="24"/>
          <w:szCs w:val="24"/>
          <w:lang w:val="en-US"/>
        </w:rPr>
        <w:t>Forgital</w:t>
      </w:r>
      <w:proofErr w:type="spellEnd"/>
      <w:r w:rsidRPr="00C2559F">
        <w:rPr>
          <w:sz w:val="24"/>
          <w:szCs w:val="24"/>
          <w:lang w:val="en-US"/>
        </w:rPr>
        <w:t xml:space="preserve"> seems not to be able to propose this material for other application, UKAD is entitled to request its payment.</w:t>
      </w:r>
    </w:p>
    <w:p w:rsidR="00C2559F" w:rsidRDefault="00C2559F" w:rsidP="00C2559F">
      <w:pPr>
        <w:rPr>
          <w:sz w:val="24"/>
          <w:szCs w:val="24"/>
          <w:highlight w:val="yellow"/>
          <w:lang w:val="en-US"/>
        </w:rPr>
      </w:pPr>
    </w:p>
    <w:p w:rsidR="00C777FE" w:rsidRPr="00C2559F" w:rsidRDefault="00C777FE" w:rsidP="00C2559F">
      <w:pPr>
        <w:rPr>
          <w:sz w:val="24"/>
          <w:szCs w:val="24"/>
          <w:highlight w:val="yellow"/>
          <w:lang w:val="en-US"/>
        </w:rPr>
      </w:pPr>
    </w:p>
    <w:p w:rsidR="00C2559F" w:rsidRDefault="00C2559F" w:rsidP="00C2559F">
      <w:pPr>
        <w:rPr>
          <w:sz w:val="24"/>
          <w:szCs w:val="24"/>
          <w:lang w:val="en-US"/>
        </w:rPr>
      </w:pPr>
      <w:r w:rsidRPr="00C2559F">
        <w:rPr>
          <w:sz w:val="24"/>
          <w:szCs w:val="24"/>
          <w:lang w:val="en-US"/>
        </w:rPr>
        <w:lastRenderedPageBreak/>
        <w:t>For this flexible period, UKAD has purchased the volumes of ingots necessary to achieve 47 tons of semi products, which corresponds to an estimated value of 1,040 M$ before launching in production (90% of the final price</w:t>
      </w:r>
      <w:proofErr w:type="gramStart"/>
      <w:r w:rsidRPr="00C2559F">
        <w:rPr>
          <w:sz w:val="24"/>
          <w:szCs w:val="24"/>
          <w:lang w:val="en-US"/>
        </w:rPr>
        <w:t>)</w:t>
      </w:r>
      <w:r>
        <w:rPr>
          <w:sz w:val="24"/>
          <w:szCs w:val="24"/>
          <w:lang w:val="en-US"/>
        </w:rPr>
        <w:t xml:space="preserve"> </w:t>
      </w:r>
      <w:r w:rsidRPr="00C2559F">
        <w:rPr>
          <w:sz w:val="24"/>
          <w:szCs w:val="24"/>
          <w:lang w:val="en-US"/>
        </w:rPr>
        <w:t>:</w:t>
      </w:r>
      <w:proofErr w:type="gramEnd"/>
    </w:p>
    <w:p w:rsidR="00C2559F" w:rsidRPr="00C2559F" w:rsidRDefault="00C2559F" w:rsidP="00C2559F">
      <w:pPr>
        <w:rPr>
          <w:sz w:val="24"/>
          <w:szCs w:val="24"/>
          <w:lang w:val="en-US"/>
        </w:rPr>
      </w:pPr>
    </w:p>
    <w:tbl>
      <w:tblPr>
        <w:tblpPr w:leftFromText="141" w:rightFromText="141" w:vertAnchor="text" w:horzAnchor="margin" w:tblpY="40"/>
        <w:tblW w:w="7280" w:type="dxa"/>
        <w:tblCellMar>
          <w:left w:w="70" w:type="dxa"/>
          <w:right w:w="70" w:type="dxa"/>
        </w:tblCellMar>
        <w:tblLook w:val="04A0" w:firstRow="1" w:lastRow="0" w:firstColumn="1" w:lastColumn="0" w:noHBand="0" w:noVBand="1"/>
      </w:tblPr>
      <w:tblGrid>
        <w:gridCol w:w="1200"/>
        <w:gridCol w:w="1060"/>
        <w:gridCol w:w="702"/>
        <w:gridCol w:w="2000"/>
        <w:gridCol w:w="1200"/>
        <w:gridCol w:w="1200"/>
      </w:tblGrid>
      <w:tr w:rsidR="00C2559F" w:rsidRPr="00C2559F" w:rsidTr="00EF5101">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proofErr w:type="spellStart"/>
            <w:r w:rsidRPr="00C2559F">
              <w:rPr>
                <w:rFonts w:ascii="Calibri" w:hAnsi="Calibri" w:cs="Calibri"/>
                <w:color w:val="FFFFFF"/>
                <w:sz w:val="24"/>
                <w:szCs w:val="24"/>
              </w:rPr>
              <w:t>Year</w:t>
            </w:r>
            <w:proofErr w:type="spellEnd"/>
          </w:p>
        </w:tc>
        <w:tc>
          <w:tcPr>
            <w:tcW w:w="1060" w:type="dxa"/>
            <w:tcBorders>
              <w:top w:val="single" w:sz="8" w:space="0" w:color="auto"/>
              <w:left w:val="nil"/>
              <w:bottom w:val="single" w:sz="8" w:space="0" w:color="auto"/>
              <w:right w:val="single" w:sz="8" w:space="0" w:color="auto"/>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proofErr w:type="spellStart"/>
            <w:r w:rsidRPr="00C2559F">
              <w:rPr>
                <w:rFonts w:ascii="Calibri" w:hAnsi="Calibri" w:cs="Calibri"/>
                <w:color w:val="FFFFFF"/>
                <w:sz w:val="24"/>
                <w:szCs w:val="24"/>
              </w:rPr>
              <w:t>Month</w:t>
            </w:r>
            <w:proofErr w:type="spellEnd"/>
          </w:p>
        </w:tc>
        <w:tc>
          <w:tcPr>
            <w:tcW w:w="620" w:type="dxa"/>
            <w:tcBorders>
              <w:top w:val="single" w:sz="8" w:space="0" w:color="auto"/>
              <w:left w:val="nil"/>
              <w:bottom w:val="single" w:sz="8" w:space="0" w:color="auto"/>
              <w:right w:val="single" w:sz="8" w:space="0" w:color="auto"/>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Week</w:t>
            </w:r>
          </w:p>
        </w:tc>
        <w:tc>
          <w:tcPr>
            <w:tcW w:w="2000" w:type="dxa"/>
            <w:tcBorders>
              <w:top w:val="single" w:sz="8" w:space="0" w:color="auto"/>
              <w:left w:val="nil"/>
              <w:bottom w:val="single" w:sz="8" w:space="0" w:color="auto"/>
              <w:right w:val="single" w:sz="8" w:space="0" w:color="auto"/>
            </w:tcBorders>
            <w:shd w:val="clear" w:color="000000" w:fill="F2F2F2"/>
            <w:noWrap/>
            <w:vAlign w:val="center"/>
            <w:hideMark/>
          </w:tcPr>
          <w:p w:rsidR="00C2559F" w:rsidRPr="00C2559F" w:rsidRDefault="00C2559F" w:rsidP="00EF5101">
            <w:pPr>
              <w:jc w:val="center"/>
              <w:rPr>
                <w:rFonts w:ascii="Calibri" w:hAnsi="Calibri" w:cs="Calibri"/>
                <w:color w:val="000000"/>
                <w:sz w:val="24"/>
                <w:szCs w:val="24"/>
              </w:rPr>
            </w:pPr>
            <w:proofErr w:type="spellStart"/>
            <w:r w:rsidRPr="00C2559F">
              <w:rPr>
                <w:rFonts w:ascii="Calibri" w:hAnsi="Calibri" w:cs="Calibri"/>
                <w:color w:val="000000"/>
                <w:sz w:val="24"/>
                <w:szCs w:val="24"/>
              </w:rPr>
              <w:t>Qty</w:t>
            </w:r>
            <w:proofErr w:type="spellEnd"/>
            <w:r w:rsidRPr="00C2559F">
              <w:rPr>
                <w:rFonts w:ascii="Calibri" w:hAnsi="Calibri" w:cs="Calibri"/>
                <w:color w:val="000000"/>
                <w:sz w:val="24"/>
                <w:szCs w:val="24"/>
              </w:rPr>
              <w:t xml:space="preserve"> [ton]</w:t>
            </w:r>
          </w:p>
        </w:tc>
        <w:tc>
          <w:tcPr>
            <w:tcW w:w="1200" w:type="dxa"/>
            <w:tcBorders>
              <w:top w:val="single" w:sz="8" w:space="0" w:color="auto"/>
              <w:left w:val="nil"/>
              <w:bottom w:val="single" w:sz="8" w:space="0" w:color="auto"/>
              <w:right w:val="single" w:sz="8" w:space="0" w:color="auto"/>
            </w:tcBorders>
            <w:shd w:val="clear" w:color="000000" w:fill="F2F2F2"/>
            <w:noWrap/>
            <w:vAlign w:val="center"/>
            <w:hideMark/>
          </w:tcPr>
          <w:p w:rsidR="00C2559F" w:rsidRPr="00C2559F" w:rsidRDefault="00C2559F" w:rsidP="00EF5101">
            <w:pPr>
              <w:rPr>
                <w:rFonts w:ascii="Calibri" w:hAnsi="Calibri" w:cs="Calibri"/>
                <w:color w:val="000000"/>
                <w:sz w:val="24"/>
                <w:szCs w:val="24"/>
              </w:rPr>
            </w:pPr>
            <w:r w:rsidRPr="00C2559F">
              <w:rPr>
                <w:rFonts w:ascii="Calibri" w:hAnsi="Calibri" w:cs="Calibri"/>
                <w:color w:val="000000"/>
                <w:sz w:val="24"/>
                <w:szCs w:val="24"/>
              </w:rPr>
              <w:t xml:space="preserve">PO </w:t>
            </w:r>
            <w:proofErr w:type="spellStart"/>
            <w:r w:rsidRPr="00C2559F">
              <w:rPr>
                <w:rFonts w:ascii="Calibri" w:hAnsi="Calibri" w:cs="Calibri"/>
                <w:color w:val="000000"/>
                <w:sz w:val="24"/>
                <w:szCs w:val="24"/>
              </w:rPr>
              <w:t>ref</w:t>
            </w:r>
            <w:proofErr w:type="spellEnd"/>
            <w:r w:rsidRPr="00C2559F">
              <w:rPr>
                <w:rFonts w:ascii="Calibri" w:hAnsi="Calibri" w:cs="Calibri"/>
                <w:color w:val="000000"/>
                <w:sz w:val="24"/>
                <w:szCs w:val="24"/>
              </w:rPr>
              <w:t>.</w:t>
            </w:r>
          </w:p>
        </w:tc>
        <w:tc>
          <w:tcPr>
            <w:tcW w:w="1200" w:type="dxa"/>
            <w:tcBorders>
              <w:top w:val="nil"/>
              <w:left w:val="nil"/>
              <w:bottom w:val="nil"/>
              <w:right w:val="nil"/>
            </w:tcBorders>
            <w:shd w:val="clear" w:color="auto" w:fill="auto"/>
            <w:noWrap/>
            <w:vAlign w:val="bottom"/>
            <w:hideMark/>
          </w:tcPr>
          <w:p w:rsidR="00C2559F" w:rsidRPr="00C2559F" w:rsidRDefault="00C2559F" w:rsidP="00EF5101">
            <w:pPr>
              <w:rPr>
                <w:rFonts w:ascii="Calibri" w:hAnsi="Calibri" w:cs="Calibri"/>
                <w:color w:val="000000"/>
                <w:sz w:val="24"/>
                <w:szCs w:val="24"/>
              </w:rPr>
            </w:pPr>
          </w:p>
        </w:tc>
      </w:tr>
      <w:tr w:rsidR="00C2559F" w:rsidRPr="00C2559F" w:rsidTr="00EF5101">
        <w:trPr>
          <w:trHeight w:val="315"/>
        </w:trPr>
        <w:tc>
          <w:tcPr>
            <w:tcW w:w="1200" w:type="dxa"/>
            <w:tcBorders>
              <w:top w:val="nil"/>
              <w:left w:val="single" w:sz="8" w:space="0" w:color="auto"/>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2020</w:t>
            </w:r>
          </w:p>
        </w:tc>
        <w:tc>
          <w:tcPr>
            <w:tcW w:w="106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5</w:t>
            </w:r>
          </w:p>
        </w:tc>
        <w:tc>
          <w:tcPr>
            <w:tcW w:w="62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b/>
                <w:bCs/>
                <w:color w:val="FFFFFF"/>
                <w:sz w:val="24"/>
                <w:szCs w:val="24"/>
              </w:rPr>
            </w:pPr>
            <w:r w:rsidRPr="00C2559F">
              <w:rPr>
                <w:rFonts w:ascii="Calibri" w:hAnsi="Calibri" w:cs="Calibri"/>
                <w:b/>
                <w:bCs/>
                <w:color w:val="FFFFFF"/>
                <w:sz w:val="24"/>
                <w:szCs w:val="24"/>
              </w:rPr>
              <w:t>22</w:t>
            </w:r>
          </w:p>
        </w:tc>
        <w:tc>
          <w:tcPr>
            <w:tcW w:w="2000" w:type="dxa"/>
            <w:tcBorders>
              <w:top w:val="nil"/>
              <w:left w:val="single" w:sz="8" w:space="0" w:color="auto"/>
              <w:bottom w:val="single" w:sz="8" w:space="0" w:color="FFFFFF"/>
              <w:right w:val="single" w:sz="8" w:space="0" w:color="auto"/>
            </w:tcBorders>
            <w:shd w:val="clear" w:color="000000" w:fill="F2F2F2"/>
            <w:noWrap/>
            <w:vAlign w:val="center"/>
            <w:hideMark/>
          </w:tcPr>
          <w:p w:rsidR="00C2559F" w:rsidRPr="00C2559F" w:rsidRDefault="00C2559F" w:rsidP="00EF5101">
            <w:pPr>
              <w:jc w:val="center"/>
              <w:rPr>
                <w:rFonts w:ascii="Calibri" w:hAnsi="Calibri" w:cs="Calibri"/>
                <w:color w:val="000000"/>
                <w:sz w:val="24"/>
                <w:szCs w:val="24"/>
              </w:rPr>
            </w:pPr>
            <w:r w:rsidRPr="00C2559F">
              <w:rPr>
                <w:rFonts w:ascii="Calibri" w:hAnsi="Calibri" w:cs="Calibri"/>
                <w:color w:val="000000"/>
                <w:sz w:val="24"/>
                <w:szCs w:val="24"/>
              </w:rPr>
              <w:t>11,74</w:t>
            </w:r>
          </w:p>
        </w:tc>
        <w:tc>
          <w:tcPr>
            <w:tcW w:w="1200" w:type="dxa"/>
            <w:tcBorders>
              <w:top w:val="nil"/>
              <w:left w:val="nil"/>
              <w:bottom w:val="single" w:sz="8" w:space="0" w:color="FFFFFF"/>
              <w:right w:val="single" w:sz="8" w:space="0" w:color="auto"/>
            </w:tcBorders>
            <w:shd w:val="clear" w:color="000000" w:fill="F2F2F2"/>
            <w:noWrap/>
            <w:vAlign w:val="center"/>
            <w:hideMark/>
          </w:tcPr>
          <w:p w:rsidR="00C2559F" w:rsidRPr="00C2559F" w:rsidRDefault="00C2559F" w:rsidP="00EF5101">
            <w:pPr>
              <w:rPr>
                <w:rFonts w:ascii="Calibri" w:hAnsi="Calibri" w:cs="Calibri"/>
                <w:color w:val="000000"/>
                <w:sz w:val="24"/>
                <w:szCs w:val="24"/>
              </w:rPr>
            </w:pPr>
            <w:r w:rsidRPr="00C2559F">
              <w:rPr>
                <w:rFonts w:ascii="Calibri" w:hAnsi="Calibri" w:cs="Calibri"/>
                <w:color w:val="000000"/>
                <w:sz w:val="24"/>
                <w:szCs w:val="24"/>
              </w:rPr>
              <w:t>806/19 r.2</w:t>
            </w:r>
          </w:p>
        </w:tc>
        <w:tc>
          <w:tcPr>
            <w:tcW w:w="120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C2559F" w:rsidRPr="00C2559F" w:rsidRDefault="00C2559F" w:rsidP="00EF5101">
            <w:pPr>
              <w:jc w:val="center"/>
              <w:rPr>
                <w:rFonts w:ascii="Calibri" w:hAnsi="Calibri" w:cs="Calibri"/>
                <w:color w:val="000000"/>
                <w:sz w:val="24"/>
                <w:szCs w:val="24"/>
              </w:rPr>
            </w:pPr>
            <w:r w:rsidRPr="00C2559F">
              <w:rPr>
                <w:rFonts w:ascii="Calibri" w:hAnsi="Calibri" w:cs="Calibri"/>
                <w:color w:val="000000"/>
                <w:sz w:val="24"/>
                <w:szCs w:val="24"/>
              </w:rPr>
              <w:t>Flexible</w:t>
            </w:r>
            <w:r w:rsidRPr="00C2559F">
              <w:rPr>
                <w:rFonts w:ascii="Calibri" w:hAnsi="Calibri" w:cs="Calibri"/>
                <w:color w:val="000000"/>
                <w:sz w:val="24"/>
                <w:szCs w:val="24"/>
              </w:rPr>
              <w:br/>
            </w:r>
            <w:proofErr w:type="spellStart"/>
            <w:r w:rsidRPr="00C2559F">
              <w:rPr>
                <w:rFonts w:ascii="Calibri" w:hAnsi="Calibri" w:cs="Calibri"/>
                <w:color w:val="000000"/>
                <w:sz w:val="24"/>
                <w:szCs w:val="24"/>
              </w:rPr>
              <w:t>Period</w:t>
            </w:r>
            <w:proofErr w:type="spellEnd"/>
            <w:r w:rsidRPr="00C2559F">
              <w:rPr>
                <w:rFonts w:ascii="Calibri" w:hAnsi="Calibri" w:cs="Calibri"/>
                <w:color w:val="000000"/>
                <w:sz w:val="24"/>
                <w:szCs w:val="24"/>
              </w:rPr>
              <w:br/>
              <w:t>47 tons</w:t>
            </w:r>
          </w:p>
        </w:tc>
      </w:tr>
      <w:tr w:rsidR="00C2559F" w:rsidRPr="00C2559F" w:rsidTr="00EF5101">
        <w:trPr>
          <w:trHeight w:val="315"/>
        </w:trPr>
        <w:tc>
          <w:tcPr>
            <w:tcW w:w="1200" w:type="dxa"/>
            <w:tcBorders>
              <w:top w:val="nil"/>
              <w:left w:val="single" w:sz="8" w:space="0" w:color="auto"/>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2020</w:t>
            </w:r>
          </w:p>
        </w:tc>
        <w:tc>
          <w:tcPr>
            <w:tcW w:w="106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6</w:t>
            </w:r>
          </w:p>
        </w:tc>
        <w:tc>
          <w:tcPr>
            <w:tcW w:w="62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b/>
                <w:bCs/>
                <w:color w:val="FFFFFF"/>
                <w:sz w:val="24"/>
                <w:szCs w:val="24"/>
              </w:rPr>
            </w:pPr>
            <w:r w:rsidRPr="00C2559F">
              <w:rPr>
                <w:rFonts w:ascii="Calibri" w:hAnsi="Calibri" w:cs="Calibri"/>
                <w:b/>
                <w:bCs/>
                <w:color w:val="FFFFFF"/>
                <w:sz w:val="24"/>
                <w:szCs w:val="24"/>
              </w:rPr>
              <w:t>24</w:t>
            </w:r>
          </w:p>
        </w:tc>
        <w:tc>
          <w:tcPr>
            <w:tcW w:w="2000" w:type="dxa"/>
            <w:tcBorders>
              <w:top w:val="nil"/>
              <w:left w:val="single" w:sz="8" w:space="0" w:color="auto"/>
              <w:bottom w:val="single" w:sz="8" w:space="0" w:color="FFFFFF"/>
              <w:right w:val="single" w:sz="8" w:space="0" w:color="auto"/>
            </w:tcBorders>
            <w:shd w:val="clear" w:color="000000" w:fill="F2F2F2"/>
            <w:noWrap/>
            <w:vAlign w:val="center"/>
            <w:hideMark/>
          </w:tcPr>
          <w:p w:rsidR="00C2559F" w:rsidRPr="00C2559F" w:rsidRDefault="00C2559F" w:rsidP="00EF5101">
            <w:pPr>
              <w:jc w:val="center"/>
              <w:rPr>
                <w:rFonts w:ascii="Calibri" w:hAnsi="Calibri" w:cs="Calibri"/>
                <w:color w:val="000000"/>
                <w:sz w:val="24"/>
                <w:szCs w:val="24"/>
              </w:rPr>
            </w:pPr>
            <w:r w:rsidRPr="00C2559F">
              <w:rPr>
                <w:rFonts w:ascii="Calibri" w:hAnsi="Calibri" w:cs="Calibri"/>
                <w:color w:val="000000"/>
                <w:sz w:val="24"/>
                <w:szCs w:val="24"/>
              </w:rPr>
              <w:t>11,74</w:t>
            </w:r>
          </w:p>
        </w:tc>
        <w:tc>
          <w:tcPr>
            <w:tcW w:w="1200" w:type="dxa"/>
            <w:tcBorders>
              <w:top w:val="nil"/>
              <w:left w:val="nil"/>
              <w:bottom w:val="single" w:sz="8" w:space="0" w:color="FFFFFF"/>
              <w:right w:val="single" w:sz="8" w:space="0" w:color="auto"/>
            </w:tcBorders>
            <w:shd w:val="clear" w:color="000000" w:fill="F2F2F2"/>
            <w:noWrap/>
            <w:vAlign w:val="center"/>
            <w:hideMark/>
          </w:tcPr>
          <w:p w:rsidR="00C2559F" w:rsidRPr="00C2559F" w:rsidRDefault="00C2559F" w:rsidP="00EF5101">
            <w:pPr>
              <w:rPr>
                <w:rFonts w:ascii="Calibri" w:hAnsi="Calibri" w:cs="Calibri"/>
                <w:color w:val="000000"/>
                <w:sz w:val="24"/>
                <w:szCs w:val="24"/>
              </w:rPr>
            </w:pPr>
            <w:r w:rsidRPr="00C2559F">
              <w:rPr>
                <w:rFonts w:ascii="Calibri" w:hAnsi="Calibri" w:cs="Calibri"/>
                <w:color w:val="000000"/>
                <w:sz w:val="24"/>
                <w:szCs w:val="24"/>
              </w:rPr>
              <w:t>806/19 r.3</w:t>
            </w:r>
          </w:p>
        </w:tc>
        <w:tc>
          <w:tcPr>
            <w:tcW w:w="1200" w:type="dxa"/>
            <w:vMerge/>
            <w:tcBorders>
              <w:top w:val="nil"/>
              <w:left w:val="single" w:sz="8" w:space="0" w:color="auto"/>
              <w:bottom w:val="single" w:sz="8" w:space="0" w:color="000000"/>
              <w:right w:val="single" w:sz="8" w:space="0" w:color="auto"/>
            </w:tcBorders>
            <w:vAlign w:val="center"/>
            <w:hideMark/>
          </w:tcPr>
          <w:p w:rsidR="00C2559F" w:rsidRPr="00C2559F" w:rsidRDefault="00C2559F" w:rsidP="00EF5101">
            <w:pPr>
              <w:rPr>
                <w:rFonts w:ascii="Calibri" w:hAnsi="Calibri" w:cs="Calibri"/>
                <w:color w:val="000000"/>
                <w:sz w:val="24"/>
                <w:szCs w:val="24"/>
              </w:rPr>
            </w:pPr>
          </w:p>
        </w:tc>
      </w:tr>
      <w:tr w:rsidR="00C2559F" w:rsidRPr="00C2559F" w:rsidTr="00EF5101">
        <w:trPr>
          <w:trHeight w:val="315"/>
        </w:trPr>
        <w:tc>
          <w:tcPr>
            <w:tcW w:w="1200" w:type="dxa"/>
            <w:tcBorders>
              <w:top w:val="nil"/>
              <w:left w:val="single" w:sz="8" w:space="0" w:color="auto"/>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2020</w:t>
            </w:r>
          </w:p>
        </w:tc>
        <w:tc>
          <w:tcPr>
            <w:tcW w:w="106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6</w:t>
            </w:r>
          </w:p>
        </w:tc>
        <w:tc>
          <w:tcPr>
            <w:tcW w:w="620" w:type="dxa"/>
            <w:tcBorders>
              <w:top w:val="nil"/>
              <w:left w:val="nil"/>
              <w:bottom w:val="single" w:sz="8" w:space="0" w:color="FFFFFF"/>
              <w:right w:val="nil"/>
            </w:tcBorders>
            <w:shd w:val="clear" w:color="000000" w:fill="44546A"/>
            <w:noWrap/>
            <w:vAlign w:val="center"/>
            <w:hideMark/>
          </w:tcPr>
          <w:p w:rsidR="00C2559F" w:rsidRPr="00C2559F" w:rsidRDefault="00C2559F" w:rsidP="00EF5101">
            <w:pPr>
              <w:jc w:val="center"/>
              <w:rPr>
                <w:rFonts w:ascii="Calibri" w:hAnsi="Calibri" w:cs="Calibri"/>
                <w:b/>
                <w:bCs/>
                <w:color w:val="FFFFFF"/>
                <w:sz w:val="24"/>
                <w:szCs w:val="24"/>
              </w:rPr>
            </w:pPr>
            <w:r w:rsidRPr="00C2559F">
              <w:rPr>
                <w:rFonts w:ascii="Calibri" w:hAnsi="Calibri" w:cs="Calibri"/>
                <w:b/>
                <w:bCs/>
                <w:color w:val="FFFFFF"/>
                <w:sz w:val="24"/>
                <w:szCs w:val="24"/>
              </w:rPr>
              <w:t>26</w:t>
            </w:r>
          </w:p>
        </w:tc>
        <w:tc>
          <w:tcPr>
            <w:tcW w:w="2000" w:type="dxa"/>
            <w:tcBorders>
              <w:top w:val="nil"/>
              <w:left w:val="single" w:sz="8" w:space="0" w:color="auto"/>
              <w:bottom w:val="single" w:sz="8" w:space="0" w:color="FFFFFF"/>
              <w:right w:val="single" w:sz="8" w:space="0" w:color="auto"/>
            </w:tcBorders>
            <w:shd w:val="clear" w:color="000000" w:fill="F2F2F2"/>
            <w:noWrap/>
            <w:vAlign w:val="center"/>
            <w:hideMark/>
          </w:tcPr>
          <w:p w:rsidR="00C2559F" w:rsidRPr="00C2559F" w:rsidRDefault="00C2559F" w:rsidP="00EF5101">
            <w:pPr>
              <w:jc w:val="center"/>
              <w:rPr>
                <w:rFonts w:ascii="Calibri" w:hAnsi="Calibri" w:cs="Calibri"/>
                <w:color w:val="000000"/>
                <w:sz w:val="24"/>
                <w:szCs w:val="24"/>
              </w:rPr>
            </w:pPr>
            <w:r w:rsidRPr="00C2559F">
              <w:rPr>
                <w:rFonts w:ascii="Calibri" w:hAnsi="Calibri" w:cs="Calibri"/>
                <w:color w:val="000000"/>
                <w:sz w:val="24"/>
                <w:szCs w:val="24"/>
              </w:rPr>
              <w:t>11,74</w:t>
            </w:r>
          </w:p>
        </w:tc>
        <w:tc>
          <w:tcPr>
            <w:tcW w:w="1200" w:type="dxa"/>
            <w:tcBorders>
              <w:top w:val="nil"/>
              <w:left w:val="nil"/>
              <w:bottom w:val="single" w:sz="8" w:space="0" w:color="FFFFFF"/>
              <w:right w:val="single" w:sz="8" w:space="0" w:color="auto"/>
            </w:tcBorders>
            <w:shd w:val="clear" w:color="000000" w:fill="F2F2F2"/>
            <w:noWrap/>
            <w:vAlign w:val="center"/>
            <w:hideMark/>
          </w:tcPr>
          <w:p w:rsidR="00C2559F" w:rsidRPr="00C2559F" w:rsidRDefault="00C2559F" w:rsidP="00EF5101">
            <w:pPr>
              <w:rPr>
                <w:rFonts w:ascii="Calibri" w:hAnsi="Calibri" w:cs="Calibri"/>
                <w:color w:val="000000"/>
                <w:sz w:val="24"/>
                <w:szCs w:val="24"/>
              </w:rPr>
            </w:pPr>
            <w:r w:rsidRPr="00C2559F">
              <w:rPr>
                <w:rFonts w:ascii="Calibri" w:hAnsi="Calibri" w:cs="Calibri"/>
                <w:color w:val="000000"/>
                <w:sz w:val="24"/>
                <w:szCs w:val="24"/>
              </w:rPr>
              <w:t>806/19 r.4</w:t>
            </w:r>
          </w:p>
        </w:tc>
        <w:tc>
          <w:tcPr>
            <w:tcW w:w="1200" w:type="dxa"/>
            <w:vMerge/>
            <w:tcBorders>
              <w:top w:val="nil"/>
              <w:left w:val="single" w:sz="8" w:space="0" w:color="auto"/>
              <w:bottom w:val="single" w:sz="8" w:space="0" w:color="000000"/>
              <w:right w:val="single" w:sz="8" w:space="0" w:color="auto"/>
            </w:tcBorders>
            <w:vAlign w:val="center"/>
            <w:hideMark/>
          </w:tcPr>
          <w:p w:rsidR="00C2559F" w:rsidRPr="00C2559F" w:rsidRDefault="00C2559F" w:rsidP="00EF5101">
            <w:pPr>
              <w:rPr>
                <w:rFonts w:ascii="Calibri" w:hAnsi="Calibri" w:cs="Calibri"/>
                <w:color w:val="000000"/>
                <w:sz w:val="24"/>
                <w:szCs w:val="24"/>
              </w:rPr>
            </w:pPr>
          </w:p>
        </w:tc>
      </w:tr>
      <w:tr w:rsidR="00C2559F" w:rsidRPr="00C2559F" w:rsidTr="00EF5101">
        <w:trPr>
          <w:trHeight w:val="315"/>
        </w:trPr>
        <w:tc>
          <w:tcPr>
            <w:tcW w:w="1200" w:type="dxa"/>
            <w:tcBorders>
              <w:top w:val="nil"/>
              <w:left w:val="single" w:sz="8" w:space="0" w:color="auto"/>
              <w:bottom w:val="single" w:sz="8" w:space="0" w:color="auto"/>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2020</w:t>
            </w:r>
          </w:p>
        </w:tc>
        <w:tc>
          <w:tcPr>
            <w:tcW w:w="1060" w:type="dxa"/>
            <w:tcBorders>
              <w:top w:val="nil"/>
              <w:left w:val="nil"/>
              <w:bottom w:val="single" w:sz="8" w:space="0" w:color="auto"/>
              <w:right w:val="nil"/>
            </w:tcBorders>
            <w:shd w:val="clear" w:color="000000" w:fill="44546A"/>
            <w:noWrap/>
            <w:vAlign w:val="center"/>
            <w:hideMark/>
          </w:tcPr>
          <w:p w:rsidR="00C2559F" w:rsidRPr="00C2559F" w:rsidRDefault="00C2559F" w:rsidP="00EF5101">
            <w:pPr>
              <w:jc w:val="center"/>
              <w:rPr>
                <w:rFonts w:ascii="Calibri" w:hAnsi="Calibri" w:cs="Calibri"/>
                <w:color w:val="FFFFFF"/>
                <w:sz w:val="24"/>
                <w:szCs w:val="24"/>
              </w:rPr>
            </w:pPr>
            <w:r w:rsidRPr="00C2559F">
              <w:rPr>
                <w:rFonts w:ascii="Calibri" w:hAnsi="Calibri" w:cs="Calibri"/>
                <w:color w:val="FFFFFF"/>
                <w:sz w:val="24"/>
                <w:szCs w:val="24"/>
              </w:rPr>
              <w:t>7</w:t>
            </w:r>
          </w:p>
        </w:tc>
        <w:tc>
          <w:tcPr>
            <w:tcW w:w="620" w:type="dxa"/>
            <w:tcBorders>
              <w:top w:val="nil"/>
              <w:left w:val="nil"/>
              <w:bottom w:val="single" w:sz="8" w:space="0" w:color="auto"/>
              <w:right w:val="nil"/>
            </w:tcBorders>
            <w:shd w:val="clear" w:color="000000" w:fill="44546A"/>
            <w:noWrap/>
            <w:vAlign w:val="center"/>
            <w:hideMark/>
          </w:tcPr>
          <w:p w:rsidR="00C2559F" w:rsidRPr="00C2559F" w:rsidRDefault="00C2559F" w:rsidP="00EF5101">
            <w:pPr>
              <w:jc w:val="center"/>
              <w:rPr>
                <w:rFonts w:ascii="Calibri" w:hAnsi="Calibri" w:cs="Calibri"/>
                <w:b/>
                <w:bCs/>
                <w:color w:val="FFFFFF"/>
                <w:sz w:val="24"/>
                <w:szCs w:val="24"/>
              </w:rPr>
            </w:pPr>
            <w:r w:rsidRPr="00C2559F">
              <w:rPr>
                <w:rFonts w:ascii="Calibri" w:hAnsi="Calibri" w:cs="Calibri"/>
                <w:b/>
                <w:bCs/>
                <w:color w:val="FFFFFF"/>
                <w:sz w:val="24"/>
                <w:szCs w:val="24"/>
              </w:rPr>
              <w:t>28</w:t>
            </w:r>
          </w:p>
        </w:tc>
        <w:tc>
          <w:tcPr>
            <w:tcW w:w="2000" w:type="dxa"/>
            <w:tcBorders>
              <w:top w:val="nil"/>
              <w:left w:val="single" w:sz="8" w:space="0" w:color="auto"/>
              <w:bottom w:val="single" w:sz="8" w:space="0" w:color="auto"/>
              <w:right w:val="single" w:sz="8" w:space="0" w:color="auto"/>
            </w:tcBorders>
            <w:shd w:val="clear" w:color="000000" w:fill="F2F2F2"/>
            <w:noWrap/>
            <w:vAlign w:val="center"/>
            <w:hideMark/>
          </w:tcPr>
          <w:p w:rsidR="00C2559F" w:rsidRPr="00C2559F" w:rsidRDefault="00C2559F" w:rsidP="00EF5101">
            <w:pPr>
              <w:jc w:val="center"/>
              <w:rPr>
                <w:rFonts w:ascii="Calibri" w:hAnsi="Calibri" w:cs="Calibri"/>
                <w:color w:val="000000"/>
                <w:sz w:val="24"/>
                <w:szCs w:val="24"/>
              </w:rPr>
            </w:pPr>
            <w:r w:rsidRPr="00C2559F">
              <w:rPr>
                <w:rFonts w:ascii="Calibri" w:hAnsi="Calibri" w:cs="Calibri"/>
                <w:color w:val="000000"/>
                <w:sz w:val="24"/>
                <w:szCs w:val="24"/>
              </w:rPr>
              <w:t>11,74</w:t>
            </w:r>
          </w:p>
        </w:tc>
        <w:tc>
          <w:tcPr>
            <w:tcW w:w="1200" w:type="dxa"/>
            <w:tcBorders>
              <w:top w:val="nil"/>
              <w:left w:val="nil"/>
              <w:bottom w:val="single" w:sz="8" w:space="0" w:color="auto"/>
              <w:right w:val="single" w:sz="8" w:space="0" w:color="auto"/>
            </w:tcBorders>
            <w:shd w:val="clear" w:color="000000" w:fill="F2F2F2"/>
            <w:noWrap/>
            <w:vAlign w:val="center"/>
            <w:hideMark/>
          </w:tcPr>
          <w:p w:rsidR="00C2559F" w:rsidRPr="00C2559F" w:rsidRDefault="00C2559F" w:rsidP="00EF5101">
            <w:pPr>
              <w:rPr>
                <w:rFonts w:ascii="Calibri" w:hAnsi="Calibri" w:cs="Calibri"/>
                <w:color w:val="000000"/>
                <w:sz w:val="24"/>
                <w:szCs w:val="24"/>
              </w:rPr>
            </w:pPr>
            <w:r w:rsidRPr="00C2559F">
              <w:rPr>
                <w:rFonts w:ascii="Calibri" w:hAnsi="Calibri" w:cs="Calibri"/>
                <w:color w:val="000000"/>
                <w:sz w:val="24"/>
                <w:szCs w:val="24"/>
              </w:rPr>
              <w:t>806/19 r.5</w:t>
            </w:r>
          </w:p>
        </w:tc>
        <w:tc>
          <w:tcPr>
            <w:tcW w:w="1200" w:type="dxa"/>
            <w:vMerge/>
            <w:tcBorders>
              <w:top w:val="nil"/>
              <w:left w:val="single" w:sz="8" w:space="0" w:color="auto"/>
              <w:bottom w:val="single" w:sz="8" w:space="0" w:color="000000"/>
              <w:right w:val="single" w:sz="8" w:space="0" w:color="auto"/>
            </w:tcBorders>
            <w:vAlign w:val="center"/>
            <w:hideMark/>
          </w:tcPr>
          <w:p w:rsidR="00C2559F" w:rsidRPr="00C2559F" w:rsidRDefault="00C2559F" w:rsidP="00EF5101">
            <w:pPr>
              <w:rPr>
                <w:rFonts w:ascii="Calibri" w:hAnsi="Calibri" w:cs="Calibri"/>
                <w:color w:val="000000"/>
                <w:sz w:val="24"/>
                <w:szCs w:val="24"/>
              </w:rPr>
            </w:pPr>
          </w:p>
        </w:tc>
      </w:tr>
    </w:tbl>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p>
    <w:p w:rsidR="00C2559F" w:rsidRDefault="00C2559F" w:rsidP="00C2559F">
      <w:pPr>
        <w:rPr>
          <w:sz w:val="24"/>
          <w:szCs w:val="24"/>
          <w:lang w:val="en-US"/>
        </w:rPr>
      </w:pPr>
    </w:p>
    <w:p w:rsidR="00C2559F" w:rsidRDefault="00C2559F" w:rsidP="00C2559F">
      <w:pPr>
        <w:rPr>
          <w:sz w:val="24"/>
          <w:szCs w:val="24"/>
          <w:lang w:val="en-US"/>
        </w:rPr>
      </w:pPr>
    </w:p>
    <w:p w:rsidR="00C2559F" w:rsidRDefault="00C2559F" w:rsidP="00C2559F">
      <w:pPr>
        <w:rPr>
          <w:sz w:val="24"/>
          <w:szCs w:val="24"/>
          <w:lang w:val="en-US"/>
        </w:rPr>
      </w:pPr>
    </w:p>
    <w:p w:rsidR="00C2559F" w:rsidRDefault="00C2559F" w:rsidP="00C2559F">
      <w:pPr>
        <w:rPr>
          <w:sz w:val="24"/>
          <w:szCs w:val="24"/>
          <w:lang w:val="en-US"/>
        </w:rPr>
      </w:pPr>
    </w:p>
    <w:p w:rsidR="00C2559F" w:rsidRPr="00C2559F" w:rsidRDefault="00C2559F" w:rsidP="00C2559F">
      <w:pPr>
        <w:rPr>
          <w:sz w:val="24"/>
          <w:szCs w:val="24"/>
          <w:lang w:val="en-US"/>
        </w:rPr>
      </w:pPr>
      <w:r w:rsidRPr="00C2559F">
        <w:rPr>
          <w:sz w:val="24"/>
          <w:szCs w:val="24"/>
          <w:lang w:val="en-US"/>
        </w:rPr>
        <w:t xml:space="preserve">By the present letter, UKAD therefore informs </w:t>
      </w:r>
      <w:proofErr w:type="spellStart"/>
      <w:r w:rsidRPr="00C2559F">
        <w:rPr>
          <w:sz w:val="24"/>
          <w:szCs w:val="24"/>
          <w:lang w:val="en-US"/>
        </w:rPr>
        <w:t>Forgital</w:t>
      </w:r>
      <w:proofErr w:type="spellEnd"/>
      <w:r w:rsidRPr="00C2559F">
        <w:rPr>
          <w:sz w:val="24"/>
          <w:szCs w:val="24"/>
          <w:lang w:val="en-US"/>
        </w:rPr>
        <w:t xml:space="preserve"> and </w:t>
      </w:r>
      <w:proofErr w:type="spellStart"/>
      <w:r w:rsidRPr="00C2559F">
        <w:rPr>
          <w:sz w:val="24"/>
          <w:szCs w:val="24"/>
          <w:lang w:val="en-US"/>
        </w:rPr>
        <w:t>Safran</w:t>
      </w:r>
      <w:proofErr w:type="spellEnd"/>
      <w:r w:rsidRPr="00C2559F">
        <w:rPr>
          <w:sz w:val="24"/>
          <w:szCs w:val="24"/>
          <w:lang w:val="en-US"/>
        </w:rPr>
        <w:t xml:space="preserve"> Aircraft Engine of the prejudice directly suffered in relation to the 737 Max program suspension and requests that the described amounts are properly considered, in line with the parties’ contractual commitments.</w:t>
      </w:r>
    </w:p>
    <w:p w:rsidR="00C2559F" w:rsidRDefault="00C2559F" w:rsidP="00C2559F">
      <w:pPr>
        <w:rPr>
          <w:sz w:val="24"/>
          <w:szCs w:val="24"/>
          <w:lang w:val="en-US"/>
        </w:rPr>
      </w:pPr>
    </w:p>
    <w:p w:rsidR="00C2559F" w:rsidRPr="00C2559F" w:rsidRDefault="00C2559F" w:rsidP="00C2559F">
      <w:pPr>
        <w:rPr>
          <w:sz w:val="24"/>
          <w:szCs w:val="24"/>
          <w:lang w:val="en-US"/>
        </w:rPr>
      </w:pPr>
    </w:p>
    <w:p w:rsidR="00C2559F" w:rsidRPr="00C2559F" w:rsidRDefault="00C2559F" w:rsidP="00C2559F">
      <w:pPr>
        <w:rPr>
          <w:sz w:val="24"/>
          <w:szCs w:val="24"/>
          <w:lang w:val="en-US"/>
        </w:rPr>
      </w:pPr>
      <w:r w:rsidRPr="00C2559F">
        <w:rPr>
          <w:sz w:val="24"/>
          <w:szCs w:val="24"/>
          <w:lang w:val="en-US"/>
        </w:rPr>
        <w:t xml:space="preserve">Yours sincerely, </w:t>
      </w:r>
    </w:p>
    <w:p w:rsidR="00C2559F" w:rsidRPr="00C2559F" w:rsidRDefault="00C2559F" w:rsidP="00C2559F">
      <w:pPr>
        <w:rPr>
          <w:sz w:val="24"/>
          <w:szCs w:val="24"/>
          <w:lang w:val="en-US"/>
        </w:rPr>
      </w:pPr>
    </w:p>
    <w:p w:rsidR="00C2559F" w:rsidRPr="00C777FE" w:rsidRDefault="00C2559F" w:rsidP="00C2559F">
      <w:pPr>
        <w:rPr>
          <w:b/>
          <w:bCs/>
          <w:sz w:val="24"/>
          <w:szCs w:val="24"/>
          <w:lang w:val="en-US"/>
        </w:rPr>
      </w:pPr>
      <w:r w:rsidRPr="00C777FE">
        <w:rPr>
          <w:b/>
          <w:bCs/>
          <w:sz w:val="24"/>
          <w:szCs w:val="24"/>
          <w:lang w:val="en-US"/>
        </w:rPr>
        <w:t>Patrick DELABORDE</w:t>
      </w:r>
    </w:p>
    <w:p w:rsidR="00C2559F" w:rsidRPr="00C2559F" w:rsidRDefault="00C2559F" w:rsidP="00C2559F">
      <w:pPr>
        <w:rPr>
          <w:sz w:val="24"/>
          <w:szCs w:val="24"/>
          <w:lang w:val="en-US"/>
        </w:rPr>
      </w:pPr>
      <w:r w:rsidRPr="00C2559F">
        <w:rPr>
          <w:sz w:val="24"/>
          <w:szCs w:val="24"/>
          <w:lang w:val="en-US"/>
        </w:rPr>
        <w:t>UKAD VP Sales</w:t>
      </w:r>
    </w:p>
    <w:p w:rsidR="00C777FE" w:rsidRPr="00C2559F" w:rsidRDefault="00C777FE" w:rsidP="00D14B83">
      <w:pPr>
        <w:pStyle w:val="Retraitnormal"/>
        <w:rPr>
          <w:sz w:val="28"/>
          <w:szCs w:val="22"/>
          <w:lang w:val="en-US"/>
        </w:rPr>
      </w:pPr>
      <w:r>
        <w:rPr>
          <w:sz w:val="28"/>
          <w:szCs w:val="22"/>
          <w:lang w:val="en-US"/>
        </w:rPr>
        <w:t>Saint Georges de Mons</w:t>
      </w:r>
      <w:proofErr w:type="gramStart"/>
      <w:r>
        <w:rPr>
          <w:sz w:val="28"/>
          <w:szCs w:val="22"/>
          <w:lang w:val="en-US"/>
        </w:rPr>
        <w:t xml:space="preserve">,  </w:t>
      </w:r>
      <w:r w:rsidR="0000677A">
        <w:rPr>
          <w:sz w:val="28"/>
          <w:szCs w:val="22"/>
          <w:lang w:val="en-US"/>
        </w:rPr>
        <w:t>the</w:t>
      </w:r>
      <w:proofErr w:type="gramEnd"/>
      <w:r w:rsidR="0000677A">
        <w:rPr>
          <w:sz w:val="28"/>
          <w:szCs w:val="22"/>
          <w:lang w:val="en-US"/>
        </w:rPr>
        <w:t xml:space="preserve"> </w:t>
      </w:r>
      <w:r>
        <w:rPr>
          <w:sz w:val="28"/>
          <w:szCs w:val="22"/>
          <w:lang w:val="en-US"/>
        </w:rPr>
        <w:t>27/02/2020.</w:t>
      </w:r>
    </w:p>
    <w:sectPr w:rsidR="00C777FE" w:rsidRPr="00C2559F" w:rsidSect="0039044C">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276" w:left="1080" w:header="624" w:footer="24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11" w:rsidRDefault="00643A11">
      <w:r>
        <w:separator/>
      </w:r>
    </w:p>
  </w:endnote>
  <w:endnote w:type="continuationSeparator" w:id="0">
    <w:p w:rsidR="00643A11" w:rsidRDefault="0064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68" w:rsidRDefault="00E8156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D9" w:rsidRPr="005527D9" w:rsidRDefault="0000677A" w:rsidP="005527D9">
    <w:pPr>
      <w:pStyle w:val="Pieddepage"/>
      <w:ind w:left="0"/>
      <w:rPr>
        <w:rFonts w:cs="Arial"/>
        <w:sz w:val="17"/>
        <w:szCs w:val="17"/>
        <w:lang w:eastAsia="en-US"/>
      </w:rPr>
    </w:pPr>
    <w:r w:rsidRPr="00C47C01">
      <w:rPr>
        <w:rFonts w:ascii="Verdana" w:hAnsi="Verdana"/>
        <w:b/>
        <w:noProof/>
        <w:sz w:val="18"/>
        <w:szCs w:val="18"/>
      </w:rPr>
      <mc:AlternateContent>
        <mc:Choice Requires="wps">
          <w:drawing>
            <wp:anchor distT="0" distB="0" distL="114300" distR="114300" simplePos="0" relativeHeight="251657728" behindDoc="0" locked="0" layoutInCell="0" allowOverlap="1">
              <wp:simplePos x="0" y="0"/>
              <wp:positionH relativeFrom="column">
                <wp:posOffset>-28575</wp:posOffset>
              </wp:positionH>
              <wp:positionV relativeFrom="paragraph">
                <wp:posOffset>-90170</wp:posOffset>
              </wp:positionV>
              <wp:extent cx="27717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9525">
                        <a:solidFill>
                          <a:srgbClr val="2DB8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1107B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1pt" to="3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" o:allowincell="f" strokecolor="#2db8b5"/>
          </w:pict>
        </mc:Fallback>
      </mc:AlternateContent>
    </w:r>
    <w:r w:rsidR="005527D9">
      <w:rPr>
        <w:rFonts w:ascii="Verdana" w:hAnsi="Verdana"/>
        <w:b/>
        <w:sz w:val="14"/>
        <w:szCs w:val="14"/>
      </w:rPr>
      <w:t xml:space="preserve">  </w:t>
    </w:r>
    <w:r w:rsidR="005527D9" w:rsidRPr="005527D9">
      <w:rPr>
        <w:rFonts w:cs="Arial"/>
        <w:sz w:val="17"/>
        <w:szCs w:val="17"/>
        <w:lang w:eastAsia="en-US"/>
      </w:rPr>
      <w:t>Siège social 10 Boulevard de Grenelle – CS 63205 – 75015 PARIS</w:t>
    </w:r>
  </w:p>
  <w:p w:rsidR="001034AE" w:rsidRPr="005527D9" w:rsidRDefault="005527D9" w:rsidP="005527D9">
    <w:pPr>
      <w:pStyle w:val="Pieddepage"/>
      <w:ind w:left="0"/>
      <w:rPr>
        <w:rFonts w:cs="Arial"/>
        <w:sz w:val="17"/>
        <w:szCs w:val="17"/>
        <w:lang w:eastAsia="en-US"/>
      </w:rPr>
    </w:pPr>
    <w:r w:rsidRPr="005527D9">
      <w:rPr>
        <w:rFonts w:cs="Arial"/>
        <w:sz w:val="17"/>
        <w:szCs w:val="17"/>
        <w:lang w:eastAsia="en-US"/>
      </w:rPr>
      <w:t xml:space="preserve"> </w:t>
    </w:r>
    <w:r>
      <w:rPr>
        <w:rFonts w:cs="Arial"/>
        <w:sz w:val="17"/>
        <w:szCs w:val="17"/>
        <w:lang w:eastAsia="en-US"/>
      </w:rPr>
      <w:t xml:space="preserve"> </w:t>
    </w:r>
    <w:r w:rsidR="001034AE" w:rsidRPr="005527D9">
      <w:rPr>
        <w:rFonts w:cs="Arial"/>
        <w:sz w:val="17"/>
        <w:szCs w:val="17"/>
        <w:lang w:eastAsia="en-US"/>
      </w:rPr>
      <w:t>Tél. +33 (0)1 45 38 38 61 - Télécopie +33 (0)1 45 38 38 60</w:t>
    </w:r>
  </w:p>
  <w:p w:rsidR="00361C49" w:rsidRDefault="005527D9" w:rsidP="00785F2E">
    <w:pPr>
      <w:pStyle w:val="Pieddepage"/>
      <w:ind w:left="57"/>
      <w:rPr>
        <w:rFonts w:cs="Arial"/>
        <w:sz w:val="17"/>
        <w:szCs w:val="17"/>
        <w:lang w:eastAsia="en-US"/>
      </w:rPr>
    </w:pPr>
    <w:r w:rsidRPr="005527D9">
      <w:rPr>
        <w:rFonts w:cs="Arial"/>
        <w:sz w:val="17"/>
        <w:szCs w:val="17"/>
        <w:lang w:eastAsia="en-US"/>
      </w:rPr>
      <w:t xml:space="preserve"> </w:t>
    </w:r>
    <w:r w:rsidR="001034AE" w:rsidRPr="005527D9">
      <w:rPr>
        <w:rFonts w:cs="Arial"/>
        <w:sz w:val="17"/>
        <w:szCs w:val="17"/>
        <w:lang w:eastAsia="en-US"/>
      </w:rPr>
      <w:t xml:space="preserve">S.A.S. au capital social de </w:t>
    </w:r>
    <w:r w:rsidR="00E81568" w:rsidRPr="005527D9">
      <w:rPr>
        <w:rFonts w:cs="Arial"/>
        <w:sz w:val="17"/>
        <w:szCs w:val="17"/>
        <w:lang w:eastAsia="en-US"/>
      </w:rPr>
      <w:t>12 502 000</w:t>
    </w:r>
    <w:r w:rsidR="001034AE" w:rsidRPr="005527D9">
      <w:rPr>
        <w:rFonts w:cs="Arial"/>
        <w:sz w:val="17"/>
        <w:szCs w:val="17"/>
        <w:lang w:eastAsia="en-US"/>
      </w:rPr>
      <w:t xml:space="preserve"> euros - R.C.S. Paris 509 667 838 - Code APE </w:t>
    </w:r>
    <w:r w:rsidR="002A64F3" w:rsidRPr="005527D9">
      <w:rPr>
        <w:rFonts w:cs="Arial"/>
        <w:sz w:val="17"/>
        <w:szCs w:val="17"/>
        <w:lang w:eastAsia="en-US"/>
      </w:rPr>
      <w:t>2550A</w:t>
    </w:r>
    <w:r w:rsidR="001034AE" w:rsidRPr="005527D9">
      <w:rPr>
        <w:rFonts w:cs="Arial"/>
        <w:sz w:val="17"/>
        <w:szCs w:val="17"/>
        <w:lang w:eastAsia="en-US"/>
      </w:rPr>
      <w:t xml:space="preserve"> –</w:t>
    </w:r>
  </w:p>
  <w:p w:rsidR="001034AE" w:rsidRPr="005527D9" w:rsidRDefault="001034AE" w:rsidP="00361C49">
    <w:pPr>
      <w:pStyle w:val="Pieddepage"/>
      <w:ind w:left="57"/>
      <w:rPr>
        <w:rFonts w:cs="Arial"/>
        <w:sz w:val="17"/>
        <w:szCs w:val="17"/>
        <w:lang w:eastAsia="en-US"/>
      </w:rPr>
    </w:pPr>
    <w:r w:rsidRPr="005527D9">
      <w:rPr>
        <w:rFonts w:cs="Arial"/>
        <w:sz w:val="17"/>
        <w:szCs w:val="17"/>
        <w:lang w:eastAsia="en-US"/>
      </w:rPr>
      <w:t xml:space="preserve"> N° de TVA Intracom FR 92 509667838</w:t>
    </w:r>
  </w:p>
  <w:p w:rsidR="001034AE" w:rsidRPr="005527D9" w:rsidRDefault="001034AE">
    <w:pPr>
      <w:pStyle w:val="Pieddepage"/>
      <w:tabs>
        <w:tab w:val="clear" w:pos="4536"/>
        <w:tab w:val="clear" w:pos="9072"/>
        <w:tab w:val="right" w:pos="709"/>
        <w:tab w:val="right" w:pos="8931"/>
      </w:tabs>
      <w:ind w:left="-993" w:right="-2"/>
      <w:rPr>
        <w:rFonts w:cs="Arial"/>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68" w:rsidRDefault="00E81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11" w:rsidRDefault="00643A11">
      <w:r>
        <w:separator/>
      </w:r>
    </w:p>
  </w:footnote>
  <w:footnote w:type="continuationSeparator" w:id="0">
    <w:p w:rsidR="00643A11" w:rsidRDefault="0064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68" w:rsidRDefault="00E8156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68" w:rsidRDefault="00E8156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568" w:rsidRDefault="00E815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3838"/>
    <w:multiLevelType w:val="hybridMultilevel"/>
    <w:tmpl w:val="ECD07C1C"/>
    <w:lvl w:ilvl="0" w:tplc="D48ED006">
      <w:numFmt w:val="bullet"/>
      <w:lvlText w:val="-"/>
      <w:lvlJc w:val="left"/>
      <w:pPr>
        <w:tabs>
          <w:tab w:val="num" w:pos="1068"/>
        </w:tabs>
        <w:ind w:left="1068"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C4B30B4"/>
    <w:multiLevelType w:val="hybridMultilevel"/>
    <w:tmpl w:val="2F22AB72"/>
    <w:lvl w:ilvl="0" w:tplc="BEB81E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CF240C"/>
    <w:multiLevelType w:val="hybridMultilevel"/>
    <w:tmpl w:val="51D48F5A"/>
    <w:lvl w:ilvl="0" w:tplc="040C000F">
      <w:start w:val="1"/>
      <w:numFmt w:val="decimal"/>
      <w:lvlText w:val="%1."/>
      <w:lvlJc w:val="left"/>
      <w:pPr>
        <w:tabs>
          <w:tab w:val="num" w:pos="1287"/>
        </w:tabs>
        <w:ind w:left="1287" w:hanging="360"/>
      </w:pPr>
    </w:lvl>
    <w:lvl w:ilvl="1" w:tplc="FCD899DE">
      <w:numFmt w:val="bullet"/>
      <w:lvlText w:val="-"/>
      <w:lvlJc w:val="left"/>
      <w:pPr>
        <w:tabs>
          <w:tab w:val="num" w:pos="2007"/>
        </w:tabs>
        <w:ind w:left="2007" w:hanging="360"/>
      </w:pPr>
      <w:rPr>
        <w:rFonts w:ascii="Times New Roman" w:eastAsia="Times New Roman" w:hAnsi="Times New Roman" w:cs="Times New Roman" w:hint="default"/>
      </w:r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3">
    <w:nsid w:val="79895CE7"/>
    <w:multiLevelType w:val="hybridMultilevel"/>
    <w:tmpl w:val="43FEBE2C"/>
    <w:lvl w:ilvl="0" w:tplc="54FE02BC">
      <w:start w:val="1"/>
      <w:numFmt w:val="bullet"/>
      <w:pStyle w:val="Dtail-Puces2"/>
      <w:lvlText w:val=""/>
      <w:lvlJc w:val="left"/>
      <w:pPr>
        <w:ind w:left="1134" w:hanging="567"/>
      </w:pPr>
      <w:rPr>
        <w:rFonts w:ascii="Wingdings" w:hAnsi="Wingdings" w:hint="default"/>
        <w:b/>
        <w:i w:val="0"/>
        <w:color w:val="0055A0"/>
        <w:sz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7E305AA6"/>
    <w:multiLevelType w:val="hybridMultilevel"/>
    <w:tmpl w:val="D23E1496"/>
    <w:lvl w:ilvl="0" w:tplc="1500EC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3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F4"/>
    <w:rsid w:val="0000677A"/>
    <w:rsid w:val="0001086F"/>
    <w:rsid w:val="00015736"/>
    <w:rsid w:val="00021D0D"/>
    <w:rsid w:val="00024589"/>
    <w:rsid w:val="0003357D"/>
    <w:rsid w:val="00040CB4"/>
    <w:rsid w:val="0004515B"/>
    <w:rsid w:val="0005381B"/>
    <w:rsid w:val="00086C3A"/>
    <w:rsid w:val="00092C50"/>
    <w:rsid w:val="00096B5F"/>
    <w:rsid w:val="000A3F15"/>
    <w:rsid w:val="000B330A"/>
    <w:rsid w:val="000E7F8F"/>
    <w:rsid w:val="00102143"/>
    <w:rsid w:val="001034AE"/>
    <w:rsid w:val="00115F01"/>
    <w:rsid w:val="00121893"/>
    <w:rsid w:val="00121E99"/>
    <w:rsid w:val="001228AA"/>
    <w:rsid w:val="00130D09"/>
    <w:rsid w:val="00137548"/>
    <w:rsid w:val="00142E31"/>
    <w:rsid w:val="00146B5F"/>
    <w:rsid w:val="0015185E"/>
    <w:rsid w:val="00152C4F"/>
    <w:rsid w:val="00175623"/>
    <w:rsid w:val="0017606A"/>
    <w:rsid w:val="001A00F2"/>
    <w:rsid w:val="001A0AC8"/>
    <w:rsid w:val="001A11A3"/>
    <w:rsid w:val="001D0FFA"/>
    <w:rsid w:val="001D3419"/>
    <w:rsid w:val="001D4AA3"/>
    <w:rsid w:val="00204631"/>
    <w:rsid w:val="00207C27"/>
    <w:rsid w:val="0022417F"/>
    <w:rsid w:val="00231F90"/>
    <w:rsid w:val="00240603"/>
    <w:rsid w:val="00265946"/>
    <w:rsid w:val="00272755"/>
    <w:rsid w:val="00290F58"/>
    <w:rsid w:val="002A64F3"/>
    <w:rsid w:val="002B3493"/>
    <w:rsid w:val="002B78C4"/>
    <w:rsid w:val="002C59F1"/>
    <w:rsid w:val="003056AF"/>
    <w:rsid w:val="00306ED3"/>
    <w:rsid w:val="003427A2"/>
    <w:rsid w:val="00347901"/>
    <w:rsid w:val="00353E9A"/>
    <w:rsid w:val="003554F2"/>
    <w:rsid w:val="003559A2"/>
    <w:rsid w:val="003570AB"/>
    <w:rsid w:val="003607D5"/>
    <w:rsid w:val="003612C8"/>
    <w:rsid w:val="00361C49"/>
    <w:rsid w:val="0039044C"/>
    <w:rsid w:val="0039758D"/>
    <w:rsid w:val="003A4313"/>
    <w:rsid w:val="003A7C00"/>
    <w:rsid w:val="003B41B8"/>
    <w:rsid w:val="003C0762"/>
    <w:rsid w:val="003C42D5"/>
    <w:rsid w:val="003D01C9"/>
    <w:rsid w:val="003E47CE"/>
    <w:rsid w:val="003E5199"/>
    <w:rsid w:val="00402D69"/>
    <w:rsid w:val="00407699"/>
    <w:rsid w:val="004107FA"/>
    <w:rsid w:val="00411A99"/>
    <w:rsid w:val="004271C8"/>
    <w:rsid w:val="00451245"/>
    <w:rsid w:val="00451A45"/>
    <w:rsid w:val="00455F12"/>
    <w:rsid w:val="00464E64"/>
    <w:rsid w:val="004654C4"/>
    <w:rsid w:val="00476FEF"/>
    <w:rsid w:val="00480482"/>
    <w:rsid w:val="00483211"/>
    <w:rsid w:val="004A22F0"/>
    <w:rsid w:val="004A290D"/>
    <w:rsid w:val="004C169E"/>
    <w:rsid w:val="004C3762"/>
    <w:rsid w:val="004D28FC"/>
    <w:rsid w:val="004D2B2D"/>
    <w:rsid w:val="004D61E1"/>
    <w:rsid w:val="004D7639"/>
    <w:rsid w:val="004E0047"/>
    <w:rsid w:val="005018C9"/>
    <w:rsid w:val="005223B5"/>
    <w:rsid w:val="00525F87"/>
    <w:rsid w:val="005527D9"/>
    <w:rsid w:val="00567989"/>
    <w:rsid w:val="005A0B25"/>
    <w:rsid w:val="005A323F"/>
    <w:rsid w:val="005B3D00"/>
    <w:rsid w:val="005C3110"/>
    <w:rsid w:val="005E6BAB"/>
    <w:rsid w:val="005F3E57"/>
    <w:rsid w:val="0061138E"/>
    <w:rsid w:val="00623735"/>
    <w:rsid w:val="00636E98"/>
    <w:rsid w:val="0064180E"/>
    <w:rsid w:val="00643A11"/>
    <w:rsid w:val="00654637"/>
    <w:rsid w:val="00656431"/>
    <w:rsid w:val="006700B3"/>
    <w:rsid w:val="006812BE"/>
    <w:rsid w:val="006965E4"/>
    <w:rsid w:val="00697968"/>
    <w:rsid w:val="006A0122"/>
    <w:rsid w:val="006A173D"/>
    <w:rsid w:val="006A189C"/>
    <w:rsid w:val="006A1B2A"/>
    <w:rsid w:val="006B5390"/>
    <w:rsid w:val="006C0125"/>
    <w:rsid w:val="006C28C7"/>
    <w:rsid w:val="006C7441"/>
    <w:rsid w:val="006D2AF0"/>
    <w:rsid w:val="006E2B8E"/>
    <w:rsid w:val="0070401F"/>
    <w:rsid w:val="007059DC"/>
    <w:rsid w:val="00711059"/>
    <w:rsid w:val="0071627E"/>
    <w:rsid w:val="0072071C"/>
    <w:rsid w:val="007306DA"/>
    <w:rsid w:val="00733D3A"/>
    <w:rsid w:val="00745A22"/>
    <w:rsid w:val="00746952"/>
    <w:rsid w:val="00750502"/>
    <w:rsid w:val="007508D1"/>
    <w:rsid w:val="007526A5"/>
    <w:rsid w:val="00764ECF"/>
    <w:rsid w:val="007756E1"/>
    <w:rsid w:val="00785F2E"/>
    <w:rsid w:val="00792004"/>
    <w:rsid w:val="00792C7F"/>
    <w:rsid w:val="007947B6"/>
    <w:rsid w:val="007A32C3"/>
    <w:rsid w:val="007A581A"/>
    <w:rsid w:val="007C05CD"/>
    <w:rsid w:val="007E035C"/>
    <w:rsid w:val="007F0E98"/>
    <w:rsid w:val="007F2B3F"/>
    <w:rsid w:val="007F3F94"/>
    <w:rsid w:val="007F74CF"/>
    <w:rsid w:val="00802DA4"/>
    <w:rsid w:val="00805E3F"/>
    <w:rsid w:val="008152ED"/>
    <w:rsid w:val="00856258"/>
    <w:rsid w:val="00863CCC"/>
    <w:rsid w:val="00870467"/>
    <w:rsid w:val="00880C04"/>
    <w:rsid w:val="008B0BE9"/>
    <w:rsid w:val="008D61AD"/>
    <w:rsid w:val="008D7139"/>
    <w:rsid w:val="008F28E5"/>
    <w:rsid w:val="008F455B"/>
    <w:rsid w:val="00900926"/>
    <w:rsid w:val="00902104"/>
    <w:rsid w:val="00903201"/>
    <w:rsid w:val="00905B70"/>
    <w:rsid w:val="009154FD"/>
    <w:rsid w:val="00916184"/>
    <w:rsid w:val="0098013C"/>
    <w:rsid w:val="009A2737"/>
    <w:rsid w:val="009B5637"/>
    <w:rsid w:val="009D143A"/>
    <w:rsid w:val="009D1A0E"/>
    <w:rsid w:val="009E640E"/>
    <w:rsid w:val="00A04D72"/>
    <w:rsid w:val="00A05AB3"/>
    <w:rsid w:val="00A41B06"/>
    <w:rsid w:val="00A53DE3"/>
    <w:rsid w:val="00A701CD"/>
    <w:rsid w:val="00AF26F3"/>
    <w:rsid w:val="00AF60AA"/>
    <w:rsid w:val="00B044F7"/>
    <w:rsid w:val="00B2512B"/>
    <w:rsid w:val="00B7767E"/>
    <w:rsid w:val="00B85648"/>
    <w:rsid w:val="00B93D71"/>
    <w:rsid w:val="00BA0AFB"/>
    <w:rsid w:val="00BA32DB"/>
    <w:rsid w:val="00BA465D"/>
    <w:rsid w:val="00BA56A7"/>
    <w:rsid w:val="00BA57D0"/>
    <w:rsid w:val="00BB0DB7"/>
    <w:rsid w:val="00BE1B80"/>
    <w:rsid w:val="00BE37FF"/>
    <w:rsid w:val="00C02BD4"/>
    <w:rsid w:val="00C044FE"/>
    <w:rsid w:val="00C150B3"/>
    <w:rsid w:val="00C2559F"/>
    <w:rsid w:val="00C31CF4"/>
    <w:rsid w:val="00C343CD"/>
    <w:rsid w:val="00C46E94"/>
    <w:rsid w:val="00C47C01"/>
    <w:rsid w:val="00C50DD8"/>
    <w:rsid w:val="00C625D0"/>
    <w:rsid w:val="00C777FE"/>
    <w:rsid w:val="00C95756"/>
    <w:rsid w:val="00C963C0"/>
    <w:rsid w:val="00CA3CF5"/>
    <w:rsid w:val="00CA6367"/>
    <w:rsid w:val="00CC6E23"/>
    <w:rsid w:val="00CD0CEF"/>
    <w:rsid w:val="00CE10D3"/>
    <w:rsid w:val="00CE25F8"/>
    <w:rsid w:val="00CF269E"/>
    <w:rsid w:val="00D05F73"/>
    <w:rsid w:val="00D06BB7"/>
    <w:rsid w:val="00D14B83"/>
    <w:rsid w:val="00D268E9"/>
    <w:rsid w:val="00D275D8"/>
    <w:rsid w:val="00D32F40"/>
    <w:rsid w:val="00D42894"/>
    <w:rsid w:val="00D50CF9"/>
    <w:rsid w:val="00D876A5"/>
    <w:rsid w:val="00DA7FA3"/>
    <w:rsid w:val="00DB62B4"/>
    <w:rsid w:val="00DC2BD6"/>
    <w:rsid w:val="00DD4B5E"/>
    <w:rsid w:val="00DE467C"/>
    <w:rsid w:val="00E07AF4"/>
    <w:rsid w:val="00E26E68"/>
    <w:rsid w:val="00E34C3F"/>
    <w:rsid w:val="00E36493"/>
    <w:rsid w:val="00E400FB"/>
    <w:rsid w:val="00E57BFA"/>
    <w:rsid w:val="00E672F0"/>
    <w:rsid w:val="00E81568"/>
    <w:rsid w:val="00EA059C"/>
    <w:rsid w:val="00EA1B36"/>
    <w:rsid w:val="00EA6DF9"/>
    <w:rsid w:val="00ED719B"/>
    <w:rsid w:val="00EE3E26"/>
    <w:rsid w:val="00EF042C"/>
    <w:rsid w:val="00EF2541"/>
    <w:rsid w:val="00EF3128"/>
    <w:rsid w:val="00EF56F3"/>
    <w:rsid w:val="00EF584D"/>
    <w:rsid w:val="00F01E54"/>
    <w:rsid w:val="00F2051D"/>
    <w:rsid w:val="00F225D0"/>
    <w:rsid w:val="00F345D9"/>
    <w:rsid w:val="00F34DBC"/>
    <w:rsid w:val="00F41D79"/>
    <w:rsid w:val="00F438C1"/>
    <w:rsid w:val="00F47E6F"/>
    <w:rsid w:val="00F544EE"/>
    <w:rsid w:val="00F64615"/>
    <w:rsid w:val="00F66C1A"/>
    <w:rsid w:val="00F73F4E"/>
    <w:rsid w:val="00F82A1E"/>
    <w:rsid w:val="00F85AEC"/>
    <w:rsid w:val="00FB6876"/>
    <w:rsid w:val="00FC5F64"/>
    <w:rsid w:val="00FF0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215"/>
      <w:jc w:val="both"/>
      <w:outlineLvl w:val="0"/>
    </w:pPr>
    <w:rPr>
      <w:rFonts w:ascii="Arial" w:hAnsi="Arial"/>
      <w:sz w:val="16"/>
    </w:rPr>
  </w:style>
  <w:style w:type="paragraph" w:styleId="Titre2">
    <w:name w:val="heading 2"/>
    <w:basedOn w:val="Normal"/>
    <w:next w:val="Normal"/>
    <w:qFormat/>
    <w:pPr>
      <w:keepNext/>
      <w:tabs>
        <w:tab w:val="left" w:pos="6379"/>
      </w:tabs>
      <w:ind w:left="-709"/>
      <w:jc w:val="both"/>
      <w:outlineLvl w:val="1"/>
    </w:pPr>
    <w:rPr>
      <w:rFonts w:ascii="Arial" w:hAnsi="Arial"/>
      <w:b/>
    </w:rPr>
  </w:style>
  <w:style w:type="paragraph" w:styleId="Titre3">
    <w:name w:val="heading 3"/>
    <w:basedOn w:val="Normal"/>
    <w:next w:val="Normal"/>
    <w:qFormat/>
    <w:pPr>
      <w:keepNext/>
      <w:tabs>
        <w:tab w:val="left" w:pos="6379"/>
      </w:tabs>
      <w:ind w:left="993"/>
      <w:jc w:val="both"/>
      <w:outlineLvl w:val="2"/>
    </w:pPr>
    <w:rPr>
      <w:rFonts w:ascii="Arial" w:hAnsi="Arial"/>
    </w:rPr>
  </w:style>
  <w:style w:type="paragraph" w:styleId="Titre4">
    <w:name w:val="heading 4"/>
    <w:basedOn w:val="Normal"/>
    <w:next w:val="Normal"/>
    <w:qFormat/>
    <w:pPr>
      <w:keepNext/>
      <w:ind w:left="213"/>
      <w:jc w:val="both"/>
      <w:outlineLvl w:val="3"/>
    </w:pPr>
    <w:rPr>
      <w:rFonts w:ascii="Arial" w:hAnsi="Arial"/>
      <w:color w:val="808080"/>
      <w:sz w:val="32"/>
    </w:rPr>
  </w:style>
  <w:style w:type="paragraph" w:styleId="Titre5">
    <w:name w:val="heading 5"/>
    <w:basedOn w:val="Normal"/>
    <w:next w:val="Normal"/>
    <w:qFormat/>
    <w:pPr>
      <w:keepNext/>
      <w:ind w:left="213"/>
      <w:jc w:val="both"/>
      <w:outlineLvl w:val="4"/>
    </w:pPr>
    <w:rPr>
      <w:rFonts w:ascii="Arial" w:hAnsi="Arial"/>
      <w:color w:val="808080"/>
      <w:sz w:val="28"/>
    </w:rPr>
  </w:style>
  <w:style w:type="paragraph" w:styleId="Titre6">
    <w:name w:val="heading 6"/>
    <w:basedOn w:val="Normal"/>
    <w:next w:val="Normal"/>
    <w:qFormat/>
    <w:pPr>
      <w:keepNext/>
      <w:jc w:val="center"/>
      <w:outlineLvl w:val="5"/>
    </w:pPr>
    <w:rPr>
      <w:rFonts w:ascii="Arial" w:hAnsi="Arial"/>
      <w:sz w:val="16"/>
    </w:rPr>
  </w:style>
  <w:style w:type="paragraph" w:styleId="Titre7">
    <w:name w:val="heading 7"/>
    <w:basedOn w:val="Normal"/>
    <w:next w:val="Normal"/>
    <w:qFormat/>
    <w:pPr>
      <w:keepNext/>
      <w:jc w:val="both"/>
      <w:outlineLvl w:val="6"/>
    </w:pPr>
    <w:rPr>
      <w:rFonts w:ascii="Comic Sans MS" w:hAnsi="Comic Sans MS"/>
      <w:b/>
    </w:rPr>
  </w:style>
  <w:style w:type="paragraph" w:styleId="Titre8">
    <w:name w:val="heading 8"/>
    <w:basedOn w:val="Normal"/>
    <w:next w:val="Normal"/>
    <w:qFormat/>
    <w:pPr>
      <w:keepNext/>
      <w:outlineLvl w:val="7"/>
    </w:pPr>
    <w:rPr>
      <w:rFonts w:ascii="Comic Sans MS" w:hAnsi="Comic Sans MS"/>
      <w:b/>
    </w:rPr>
  </w:style>
  <w:style w:type="paragraph" w:styleId="Titre9">
    <w:name w:val="heading 9"/>
    <w:basedOn w:val="Normal"/>
    <w:next w:val="Normal"/>
    <w:qFormat/>
    <w:pPr>
      <w:keepNext/>
      <w:outlineLvl w:val="8"/>
    </w:pPr>
    <w:rPr>
      <w:rFonts w:ascii="Comic Sans MS" w:hAnsi="Comic Sans MS"/>
      <w:sz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ind w:left="215"/>
      <w:jc w:val="both"/>
    </w:pPr>
    <w:rPr>
      <w:rFonts w:ascii="Arial" w:hAnsi="Arial"/>
      <w:sz w:val="12"/>
    </w:rPr>
  </w:style>
  <w:style w:type="paragraph" w:styleId="Pieddepage">
    <w:name w:val="footer"/>
    <w:basedOn w:val="Normal"/>
    <w:link w:val="PieddepageCar"/>
    <w:uiPriority w:val="99"/>
    <w:pPr>
      <w:tabs>
        <w:tab w:val="center" w:pos="4536"/>
        <w:tab w:val="right" w:pos="9072"/>
      </w:tabs>
      <w:ind w:left="215"/>
      <w:jc w:val="both"/>
    </w:pPr>
    <w:rPr>
      <w:rFonts w:ascii="Arial" w:hAnsi="Arial"/>
      <w:sz w:val="12"/>
    </w:rPr>
  </w:style>
  <w:style w:type="paragraph" w:styleId="Normalcentr">
    <w:name w:val="Block Text"/>
    <w:basedOn w:val="Normal"/>
    <w:pPr>
      <w:ind w:left="-284" w:right="-853"/>
      <w:jc w:val="both"/>
    </w:pPr>
    <w:rPr>
      <w:rFonts w:ascii="Arial" w:hAnsi="Arial"/>
      <w:sz w:val="16"/>
    </w:rPr>
  </w:style>
  <w:style w:type="paragraph" w:styleId="Corpsdetexte">
    <w:name w:val="Body Text"/>
    <w:basedOn w:val="Normal"/>
    <w:pPr>
      <w:jc w:val="both"/>
    </w:pPr>
    <w:rPr>
      <w:rFonts w:ascii="Comic Sans MS" w:hAnsi="Comic Sans MS"/>
    </w:rPr>
  </w:style>
  <w:style w:type="paragraph" w:styleId="Corpsdetexte2">
    <w:name w:val="Body Text 2"/>
    <w:basedOn w:val="Normal"/>
    <w:pPr>
      <w:jc w:val="center"/>
    </w:pPr>
    <w:rPr>
      <w:rFonts w:ascii="Comic Sans MS" w:hAnsi="Comic Sans MS"/>
    </w:rPr>
  </w:style>
  <w:style w:type="paragraph" w:styleId="Corpsdetexte3">
    <w:name w:val="Body Text 3"/>
    <w:basedOn w:val="Normal"/>
    <w:rPr>
      <w:rFonts w:ascii="Comic Sans MS" w:hAnsi="Comic Sans MS"/>
      <w:sz w:val="16"/>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rsid w:val="00E672F0"/>
    <w:rPr>
      <w:color w:val="0000FF"/>
      <w:u w:val="single"/>
    </w:rPr>
  </w:style>
  <w:style w:type="paragraph" w:styleId="NormalWeb">
    <w:name w:val="Normal (Web)"/>
    <w:basedOn w:val="Normal"/>
    <w:rsid w:val="00E672F0"/>
    <w:pPr>
      <w:spacing w:before="100" w:beforeAutospacing="1" w:after="100" w:afterAutospacing="1"/>
    </w:pPr>
    <w:rPr>
      <w:sz w:val="24"/>
      <w:szCs w:val="24"/>
    </w:rPr>
  </w:style>
  <w:style w:type="paragraph" w:styleId="Index1">
    <w:name w:val="index 1"/>
    <w:basedOn w:val="Normal"/>
    <w:qFormat/>
    <w:rsid w:val="00C963C0"/>
    <w:pPr>
      <w:spacing w:before="240"/>
      <w:jc w:val="both"/>
    </w:pPr>
    <w:rPr>
      <w:sz w:val="24"/>
    </w:rPr>
  </w:style>
  <w:style w:type="paragraph" w:customStyle="1" w:styleId="Dtail-Puces2">
    <w:name w:val="Détail-Puces 2"/>
    <w:basedOn w:val="Index2"/>
    <w:qFormat/>
    <w:rsid w:val="00C963C0"/>
    <w:pPr>
      <w:numPr>
        <w:numId w:val="3"/>
      </w:numPr>
      <w:tabs>
        <w:tab w:val="left" w:pos="1134"/>
      </w:tabs>
      <w:spacing w:before="240"/>
      <w:jc w:val="both"/>
    </w:pPr>
    <w:rPr>
      <w:sz w:val="24"/>
    </w:rPr>
  </w:style>
  <w:style w:type="paragraph" w:customStyle="1" w:styleId="Dateenv">
    <w:name w:val="Date env."/>
    <w:basedOn w:val="Normal"/>
    <w:next w:val="Destinataire"/>
    <w:rsid w:val="00C963C0"/>
    <w:pPr>
      <w:spacing w:before="720"/>
      <w:ind w:left="4536" w:right="-851"/>
    </w:pPr>
    <w:rPr>
      <w:sz w:val="24"/>
    </w:rPr>
  </w:style>
  <w:style w:type="paragraph" w:customStyle="1" w:styleId="Destinataire">
    <w:name w:val="Destinataire"/>
    <w:basedOn w:val="Normal"/>
    <w:next w:val="Normal"/>
    <w:rsid w:val="00C963C0"/>
    <w:pPr>
      <w:spacing w:before="960" w:after="240"/>
      <w:jc w:val="both"/>
    </w:pPr>
    <w:rPr>
      <w:sz w:val="24"/>
    </w:rPr>
  </w:style>
  <w:style w:type="paragraph" w:styleId="Listepuces2">
    <w:name w:val="List Bullet 2"/>
    <w:basedOn w:val="Index2"/>
    <w:rsid w:val="00C963C0"/>
    <w:pPr>
      <w:spacing w:before="240"/>
      <w:ind w:left="1559" w:hanging="425"/>
      <w:jc w:val="both"/>
    </w:pPr>
    <w:rPr>
      <w:sz w:val="24"/>
    </w:rPr>
  </w:style>
  <w:style w:type="paragraph" w:styleId="Retraitnormal">
    <w:name w:val="Normal Indent"/>
    <w:basedOn w:val="Normal"/>
    <w:rsid w:val="00C963C0"/>
    <w:pPr>
      <w:jc w:val="both"/>
    </w:pPr>
    <w:rPr>
      <w:sz w:val="24"/>
    </w:rPr>
  </w:style>
  <w:style w:type="paragraph" w:styleId="Index2">
    <w:name w:val="index 2"/>
    <w:basedOn w:val="Normal"/>
    <w:next w:val="Normal"/>
    <w:autoRedefine/>
    <w:semiHidden/>
    <w:rsid w:val="00C963C0"/>
    <w:pPr>
      <w:ind w:left="400" w:hanging="200"/>
    </w:pPr>
  </w:style>
  <w:style w:type="character" w:customStyle="1" w:styleId="PieddepageCar">
    <w:name w:val="Pied de page Car"/>
    <w:link w:val="Pieddepage"/>
    <w:uiPriority w:val="99"/>
    <w:rsid w:val="005527D9"/>
    <w:rPr>
      <w:rFonts w:ascii="Arial" w:hAnsi="Arial"/>
      <w:sz w:val="12"/>
      <w:lang w:val="fr-FR" w:eastAsia="fr-FR"/>
    </w:rPr>
  </w:style>
  <w:style w:type="paragraph" w:styleId="Paragraphedeliste">
    <w:name w:val="List Paragraph"/>
    <w:basedOn w:val="Normal"/>
    <w:uiPriority w:val="34"/>
    <w:qFormat/>
    <w:rsid w:val="00C2559F"/>
    <w:pPr>
      <w:spacing w:after="160" w:line="259"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rsid w:val="006A1B2A"/>
    <w:rPr>
      <w:rFonts w:ascii="Tahoma" w:hAnsi="Tahoma" w:cs="Tahoma"/>
      <w:sz w:val="16"/>
      <w:szCs w:val="16"/>
    </w:rPr>
  </w:style>
  <w:style w:type="character" w:customStyle="1" w:styleId="TextedebullesCar">
    <w:name w:val="Texte de bulles Car"/>
    <w:basedOn w:val="Policepardfaut"/>
    <w:link w:val="Textedebulles"/>
    <w:rsid w:val="006A1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215"/>
      <w:jc w:val="both"/>
      <w:outlineLvl w:val="0"/>
    </w:pPr>
    <w:rPr>
      <w:rFonts w:ascii="Arial" w:hAnsi="Arial"/>
      <w:sz w:val="16"/>
    </w:rPr>
  </w:style>
  <w:style w:type="paragraph" w:styleId="Titre2">
    <w:name w:val="heading 2"/>
    <w:basedOn w:val="Normal"/>
    <w:next w:val="Normal"/>
    <w:qFormat/>
    <w:pPr>
      <w:keepNext/>
      <w:tabs>
        <w:tab w:val="left" w:pos="6379"/>
      </w:tabs>
      <w:ind w:left="-709"/>
      <w:jc w:val="both"/>
      <w:outlineLvl w:val="1"/>
    </w:pPr>
    <w:rPr>
      <w:rFonts w:ascii="Arial" w:hAnsi="Arial"/>
      <w:b/>
    </w:rPr>
  </w:style>
  <w:style w:type="paragraph" w:styleId="Titre3">
    <w:name w:val="heading 3"/>
    <w:basedOn w:val="Normal"/>
    <w:next w:val="Normal"/>
    <w:qFormat/>
    <w:pPr>
      <w:keepNext/>
      <w:tabs>
        <w:tab w:val="left" w:pos="6379"/>
      </w:tabs>
      <w:ind w:left="993"/>
      <w:jc w:val="both"/>
      <w:outlineLvl w:val="2"/>
    </w:pPr>
    <w:rPr>
      <w:rFonts w:ascii="Arial" w:hAnsi="Arial"/>
    </w:rPr>
  </w:style>
  <w:style w:type="paragraph" w:styleId="Titre4">
    <w:name w:val="heading 4"/>
    <w:basedOn w:val="Normal"/>
    <w:next w:val="Normal"/>
    <w:qFormat/>
    <w:pPr>
      <w:keepNext/>
      <w:ind w:left="213"/>
      <w:jc w:val="both"/>
      <w:outlineLvl w:val="3"/>
    </w:pPr>
    <w:rPr>
      <w:rFonts w:ascii="Arial" w:hAnsi="Arial"/>
      <w:color w:val="808080"/>
      <w:sz w:val="32"/>
    </w:rPr>
  </w:style>
  <w:style w:type="paragraph" w:styleId="Titre5">
    <w:name w:val="heading 5"/>
    <w:basedOn w:val="Normal"/>
    <w:next w:val="Normal"/>
    <w:qFormat/>
    <w:pPr>
      <w:keepNext/>
      <w:ind w:left="213"/>
      <w:jc w:val="both"/>
      <w:outlineLvl w:val="4"/>
    </w:pPr>
    <w:rPr>
      <w:rFonts w:ascii="Arial" w:hAnsi="Arial"/>
      <w:color w:val="808080"/>
      <w:sz w:val="28"/>
    </w:rPr>
  </w:style>
  <w:style w:type="paragraph" w:styleId="Titre6">
    <w:name w:val="heading 6"/>
    <w:basedOn w:val="Normal"/>
    <w:next w:val="Normal"/>
    <w:qFormat/>
    <w:pPr>
      <w:keepNext/>
      <w:jc w:val="center"/>
      <w:outlineLvl w:val="5"/>
    </w:pPr>
    <w:rPr>
      <w:rFonts w:ascii="Arial" w:hAnsi="Arial"/>
      <w:sz w:val="16"/>
    </w:rPr>
  </w:style>
  <w:style w:type="paragraph" w:styleId="Titre7">
    <w:name w:val="heading 7"/>
    <w:basedOn w:val="Normal"/>
    <w:next w:val="Normal"/>
    <w:qFormat/>
    <w:pPr>
      <w:keepNext/>
      <w:jc w:val="both"/>
      <w:outlineLvl w:val="6"/>
    </w:pPr>
    <w:rPr>
      <w:rFonts w:ascii="Comic Sans MS" w:hAnsi="Comic Sans MS"/>
      <w:b/>
    </w:rPr>
  </w:style>
  <w:style w:type="paragraph" w:styleId="Titre8">
    <w:name w:val="heading 8"/>
    <w:basedOn w:val="Normal"/>
    <w:next w:val="Normal"/>
    <w:qFormat/>
    <w:pPr>
      <w:keepNext/>
      <w:outlineLvl w:val="7"/>
    </w:pPr>
    <w:rPr>
      <w:rFonts w:ascii="Comic Sans MS" w:hAnsi="Comic Sans MS"/>
      <w:b/>
    </w:rPr>
  </w:style>
  <w:style w:type="paragraph" w:styleId="Titre9">
    <w:name w:val="heading 9"/>
    <w:basedOn w:val="Normal"/>
    <w:next w:val="Normal"/>
    <w:qFormat/>
    <w:pPr>
      <w:keepNext/>
      <w:outlineLvl w:val="8"/>
    </w:pPr>
    <w:rPr>
      <w:rFonts w:ascii="Comic Sans MS" w:hAnsi="Comic Sans MS"/>
      <w:sz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ind w:left="215"/>
      <w:jc w:val="both"/>
    </w:pPr>
    <w:rPr>
      <w:rFonts w:ascii="Arial" w:hAnsi="Arial"/>
      <w:sz w:val="12"/>
    </w:rPr>
  </w:style>
  <w:style w:type="paragraph" w:styleId="Pieddepage">
    <w:name w:val="footer"/>
    <w:basedOn w:val="Normal"/>
    <w:link w:val="PieddepageCar"/>
    <w:uiPriority w:val="99"/>
    <w:pPr>
      <w:tabs>
        <w:tab w:val="center" w:pos="4536"/>
        <w:tab w:val="right" w:pos="9072"/>
      </w:tabs>
      <w:ind w:left="215"/>
      <w:jc w:val="both"/>
    </w:pPr>
    <w:rPr>
      <w:rFonts w:ascii="Arial" w:hAnsi="Arial"/>
      <w:sz w:val="12"/>
    </w:rPr>
  </w:style>
  <w:style w:type="paragraph" w:styleId="Normalcentr">
    <w:name w:val="Block Text"/>
    <w:basedOn w:val="Normal"/>
    <w:pPr>
      <w:ind w:left="-284" w:right="-853"/>
      <w:jc w:val="both"/>
    </w:pPr>
    <w:rPr>
      <w:rFonts w:ascii="Arial" w:hAnsi="Arial"/>
      <w:sz w:val="16"/>
    </w:rPr>
  </w:style>
  <w:style w:type="paragraph" w:styleId="Corpsdetexte">
    <w:name w:val="Body Text"/>
    <w:basedOn w:val="Normal"/>
    <w:pPr>
      <w:jc w:val="both"/>
    </w:pPr>
    <w:rPr>
      <w:rFonts w:ascii="Comic Sans MS" w:hAnsi="Comic Sans MS"/>
    </w:rPr>
  </w:style>
  <w:style w:type="paragraph" w:styleId="Corpsdetexte2">
    <w:name w:val="Body Text 2"/>
    <w:basedOn w:val="Normal"/>
    <w:pPr>
      <w:jc w:val="center"/>
    </w:pPr>
    <w:rPr>
      <w:rFonts w:ascii="Comic Sans MS" w:hAnsi="Comic Sans MS"/>
    </w:rPr>
  </w:style>
  <w:style w:type="paragraph" w:styleId="Corpsdetexte3">
    <w:name w:val="Body Text 3"/>
    <w:basedOn w:val="Normal"/>
    <w:rPr>
      <w:rFonts w:ascii="Comic Sans MS" w:hAnsi="Comic Sans MS"/>
      <w:sz w:val="16"/>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rsid w:val="00E672F0"/>
    <w:rPr>
      <w:color w:val="0000FF"/>
      <w:u w:val="single"/>
    </w:rPr>
  </w:style>
  <w:style w:type="paragraph" w:styleId="NormalWeb">
    <w:name w:val="Normal (Web)"/>
    <w:basedOn w:val="Normal"/>
    <w:rsid w:val="00E672F0"/>
    <w:pPr>
      <w:spacing w:before="100" w:beforeAutospacing="1" w:after="100" w:afterAutospacing="1"/>
    </w:pPr>
    <w:rPr>
      <w:sz w:val="24"/>
      <w:szCs w:val="24"/>
    </w:rPr>
  </w:style>
  <w:style w:type="paragraph" w:styleId="Index1">
    <w:name w:val="index 1"/>
    <w:basedOn w:val="Normal"/>
    <w:qFormat/>
    <w:rsid w:val="00C963C0"/>
    <w:pPr>
      <w:spacing w:before="240"/>
      <w:jc w:val="both"/>
    </w:pPr>
    <w:rPr>
      <w:sz w:val="24"/>
    </w:rPr>
  </w:style>
  <w:style w:type="paragraph" w:customStyle="1" w:styleId="Dtail-Puces2">
    <w:name w:val="Détail-Puces 2"/>
    <w:basedOn w:val="Index2"/>
    <w:qFormat/>
    <w:rsid w:val="00C963C0"/>
    <w:pPr>
      <w:numPr>
        <w:numId w:val="3"/>
      </w:numPr>
      <w:tabs>
        <w:tab w:val="left" w:pos="1134"/>
      </w:tabs>
      <w:spacing w:before="240"/>
      <w:jc w:val="both"/>
    </w:pPr>
    <w:rPr>
      <w:sz w:val="24"/>
    </w:rPr>
  </w:style>
  <w:style w:type="paragraph" w:customStyle="1" w:styleId="Dateenv">
    <w:name w:val="Date env."/>
    <w:basedOn w:val="Normal"/>
    <w:next w:val="Destinataire"/>
    <w:rsid w:val="00C963C0"/>
    <w:pPr>
      <w:spacing w:before="720"/>
      <w:ind w:left="4536" w:right="-851"/>
    </w:pPr>
    <w:rPr>
      <w:sz w:val="24"/>
    </w:rPr>
  </w:style>
  <w:style w:type="paragraph" w:customStyle="1" w:styleId="Destinataire">
    <w:name w:val="Destinataire"/>
    <w:basedOn w:val="Normal"/>
    <w:next w:val="Normal"/>
    <w:rsid w:val="00C963C0"/>
    <w:pPr>
      <w:spacing w:before="960" w:after="240"/>
      <w:jc w:val="both"/>
    </w:pPr>
    <w:rPr>
      <w:sz w:val="24"/>
    </w:rPr>
  </w:style>
  <w:style w:type="paragraph" w:styleId="Listepuces2">
    <w:name w:val="List Bullet 2"/>
    <w:basedOn w:val="Index2"/>
    <w:rsid w:val="00C963C0"/>
    <w:pPr>
      <w:spacing w:before="240"/>
      <w:ind w:left="1559" w:hanging="425"/>
      <w:jc w:val="both"/>
    </w:pPr>
    <w:rPr>
      <w:sz w:val="24"/>
    </w:rPr>
  </w:style>
  <w:style w:type="paragraph" w:styleId="Retraitnormal">
    <w:name w:val="Normal Indent"/>
    <w:basedOn w:val="Normal"/>
    <w:rsid w:val="00C963C0"/>
    <w:pPr>
      <w:jc w:val="both"/>
    </w:pPr>
    <w:rPr>
      <w:sz w:val="24"/>
    </w:rPr>
  </w:style>
  <w:style w:type="paragraph" w:styleId="Index2">
    <w:name w:val="index 2"/>
    <w:basedOn w:val="Normal"/>
    <w:next w:val="Normal"/>
    <w:autoRedefine/>
    <w:semiHidden/>
    <w:rsid w:val="00C963C0"/>
    <w:pPr>
      <w:ind w:left="400" w:hanging="200"/>
    </w:pPr>
  </w:style>
  <w:style w:type="character" w:customStyle="1" w:styleId="PieddepageCar">
    <w:name w:val="Pied de page Car"/>
    <w:link w:val="Pieddepage"/>
    <w:uiPriority w:val="99"/>
    <w:rsid w:val="005527D9"/>
    <w:rPr>
      <w:rFonts w:ascii="Arial" w:hAnsi="Arial"/>
      <w:sz w:val="12"/>
      <w:lang w:val="fr-FR" w:eastAsia="fr-FR"/>
    </w:rPr>
  </w:style>
  <w:style w:type="paragraph" w:styleId="Paragraphedeliste">
    <w:name w:val="List Paragraph"/>
    <w:basedOn w:val="Normal"/>
    <w:uiPriority w:val="34"/>
    <w:qFormat/>
    <w:rsid w:val="00C2559F"/>
    <w:pPr>
      <w:spacing w:after="160" w:line="259"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rsid w:val="006A1B2A"/>
    <w:rPr>
      <w:rFonts w:ascii="Tahoma" w:hAnsi="Tahoma" w:cs="Tahoma"/>
      <w:sz w:val="16"/>
      <w:szCs w:val="16"/>
    </w:rPr>
  </w:style>
  <w:style w:type="character" w:customStyle="1" w:styleId="TextedebullesCar">
    <w:name w:val="Texte de bulles Car"/>
    <w:basedOn w:val="Policepardfaut"/>
    <w:link w:val="Textedebulles"/>
    <w:rsid w:val="006A1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8672">
      <w:bodyDiv w:val="1"/>
      <w:marLeft w:val="0"/>
      <w:marRight w:val="0"/>
      <w:marTop w:val="0"/>
      <w:marBottom w:val="0"/>
      <w:divBdr>
        <w:top w:val="none" w:sz="0" w:space="0" w:color="auto"/>
        <w:left w:val="none" w:sz="0" w:space="0" w:color="auto"/>
        <w:bottom w:val="none" w:sz="0" w:space="0" w:color="auto"/>
        <w:right w:val="none" w:sz="0" w:space="0" w:color="auto"/>
      </w:divBdr>
    </w:div>
    <w:div w:id="522983792">
      <w:bodyDiv w:val="1"/>
      <w:marLeft w:val="0"/>
      <w:marRight w:val="0"/>
      <w:marTop w:val="0"/>
      <w:marBottom w:val="0"/>
      <w:divBdr>
        <w:top w:val="none" w:sz="0" w:space="0" w:color="auto"/>
        <w:left w:val="none" w:sz="0" w:space="0" w:color="auto"/>
        <w:bottom w:val="none" w:sz="0" w:space="0" w:color="auto"/>
        <w:right w:val="none" w:sz="0" w:space="0" w:color="auto"/>
      </w:divBdr>
    </w:div>
    <w:div w:id="545217043">
      <w:bodyDiv w:val="1"/>
      <w:marLeft w:val="0"/>
      <w:marRight w:val="0"/>
      <w:marTop w:val="0"/>
      <w:marBottom w:val="0"/>
      <w:divBdr>
        <w:top w:val="none" w:sz="0" w:space="0" w:color="auto"/>
        <w:left w:val="none" w:sz="0" w:space="0" w:color="auto"/>
        <w:bottom w:val="none" w:sz="0" w:space="0" w:color="auto"/>
        <w:right w:val="none" w:sz="0" w:space="0" w:color="auto"/>
      </w:divBdr>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608198935">
      <w:bodyDiv w:val="1"/>
      <w:marLeft w:val="0"/>
      <w:marRight w:val="0"/>
      <w:marTop w:val="0"/>
      <w:marBottom w:val="0"/>
      <w:divBdr>
        <w:top w:val="none" w:sz="0" w:space="0" w:color="auto"/>
        <w:left w:val="none" w:sz="0" w:space="0" w:color="auto"/>
        <w:bottom w:val="none" w:sz="0" w:space="0" w:color="auto"/>
        <w:right w:val="none" w:sz="0" w:space="0" w:color="auto"/>
      </w:divBdr>
    </w:div>
    <w:div w:id="18867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Bon%20cde%20vier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Bon cde vierge.dot</Template>
  <TotalTime>1</TotalTime>
  <Pages>3</Pages>
  <Words>744</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Bon de commande</vt:lpstr>
    </vt:vector>
  </TitlesOfParts>
  <Company>Aubert &amp; Duval</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 de commande</dc:title>
  <dc:subject/>
  <dc:creator>Hélène Romain</dc:creator>
  <cp:keywords/>
  <cp:lastModifiedBy>Microsoft</cp:lastModifiedBy>
  <cp:revision>3</cp:revision>
  <cp:lastPrinted>2014-07-02T10:04:00Z</cp:lastPrinted>
  <dcterms:created xsi:type="dcterms:W3CDTF">2020-02-27T16:12:00Z</dcterms:created>
  <dcterms:modified xsi:type="dcterms:W3CDTF">2020-02-27T16:43:00Z</dcterms:modified>
</cp:coreProperties>
</file>