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3" w:rsidRPr="00831750" w:rsidRDefault="008165A2" w:rsidP="00831750">
      <w:pPr>
        <w:pStyle w:val="Sansinterligne"/>
        <w:jc w:val="center"/>
        <w:rPr>
          <w:rFonts w:ascii="Times New Roman" w:hAnsi="Times New Roman" w:cs="Times New Roman"/>
          <w:sz w:val="28"/>
          <w:szCs w:val="28"/>
        </w:rPr>
      </w:pPr>
      <w:r w:rsidRPr="00831750">
        <w:rPr>
          <w:rFonts w:ascii="Times New Roman" w:hAnsi="Times New Roman" w:cs="Times New Roman"/>
          <w:sz w:val="28"/>
          <w:szCs w:val="28"/>
        </w:rPr>
        <w:t xml:space="preserve">Compte rendu </w:t>
      </w:r>
      <w:r w:rsidR="00B16025" w:rsidRPr="00831750">
        <w:rPr>
          <w:rFonts w:ascii="Times New Roman" w:hAnsi="Times New Roman" w:cs="Times New Roman"/>
          <w:sz w:val="28"/>
          <w:szCs w:val="28"/>
        </w:rPr>
        <w:t>succinct</w:t>
      </w:r>
      <w:r w:rsidRPr="00831750">
        <w:rPr>
          <w:rFonts w:ascii="Times New Roman" w:hAnsi="Times New Roman" w:cs="Times New Roman"/>
          <w:sz w:val="28"/>
          <w:szCs w:val="28"/>
        </w:rPr>
        <w:t xml:space="preserve"> </w:t>
      </w:r>
      <w:r w:rsidR="00831750" w:rsidRPr="00CC413C">
        <w:rPr>
          <w:rFonts w:ascii="Times New Roman" w:hAnsi="Times New Roman" w:cs="Times New Roman"/>
          <w:sz w:val="24"/>
          <w:szCs w:val="24"/>
        </w:rPr>
        <w:t>du 31/05/2012</w:t>
      </w:r>
    </w:p>
    <w:p w:rsidR="00831750" w:rsidRDefault="008165A2" w:rsidP="00831750">
      <w:pPr>
        <w:pStyle w:val="Sansinterligne"/>
        <w:jc w:val="center"/>
        <w:rPr>
          <w:rFonts w:ascii="Times New Roman" w:hAnsi="Times New Roman" w:cs="Times New Roman"/>
          <w:sz w:val="32"/>
          <w:szCs w:val="32"/>
        </w:rPr>
      </w:pPr>
      <w:r w:rsidRPr="00831750">
        <w:rPr>
          <w:rFonts w:ascii="Times New Roman" w:hAnsi="Times New Roman" w:cs="Times New Roman"/>
          <w:sz w:val="32"/>
          <w:szCs w:val="32"/>
        </w:rPr>
        <w:t>Mise en œuvre de matière première TA6VEli UKAD</w:t>
      </w:r>
    </w:p>
    <w:p w:rsidR="008165A2" w:rsidRPr="00831750" w:rsidRDefault="008165A2" w:rsidP="00831750">
      <w:pPr>
        <w:pStyle w:val="Sansinterligne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831750">
        <w:rPr>
          <w:rFonts w:ascii="Times New Roman" w:hAnsi="Times New Roman" w:cs="Times New Roman"/>
          <w:sz w:val="28"/>
          <w:szCs w:val="28"/>
        </w:rPr>
        <w:t>en</w:t>
      </w:r>
      <w:proofErr w:type="gramEnd"/>
      <w:r w:rsidRPr="00831750">
        <w:rPr>
          <w:rFonts w:ascii="Times New Roman" w:hAnsi="Times New Roman" w:cs="Times New Roman"/>
          <w:sz w:val="28"/>
          <w:szCs w:val="28"/>
        </w:rPr>
        <w:t xml:space="preserve"> barre à trou pour implant</w:t>
      </w:r>
      <w:r w:rsidR="00831750" w:rsidRPr="00831750">
        <w:rPr>
          <w:rFonts w:ascii="Times New Roman" w:hAnsi="Times New Roman" w:cs="Times New Roman"/>
          <w:sz w:val="28"/>
          <w:szCs w:val="28"/>
        </w:rPr>
        <w:t xml:space="preserve"> </w:t>
      </w:r>
      <w:r w:rsidR="00831750">
        <w:rPr>
          <w:rFonts w:ascii="Times New Roman" w:hAnsi="Times New Roman" w:cs="Times New Roman"/>
          <w:sz w:val="28"/>
          <w:szCs w:val="28"/>
        </w:rPr>
        <w:t>avec</w:t>
      </w:r>
      <w:r w:rsidR="00831750">
        <w:rPr>
          <w:rFonts w:ascii="Times New Roman" w:hAnsi="Times New Roman" w:cs="Times New Roman"/>
          <w:sz w:val="24"/>
          <w:szCs w:val="24"/>
        </w:rPr>
        <w:t xml:space="preserve"> </w:t>
      </w:r>
      <w:r w:rsidRPr="00831750">
        <w:rPr>
          <w:rFonts w:ascii="Times New Roman" w:hAnsi="Times New Roman" w:cs="Times New Roman"/>
          <w:sz w:val="36"/>
          <w:szCs w:val="36"/>
        </w:rPr>
        <w:t>Absence de mémoire "carré".</w:t>
      </w:r>
    </w:p>
    <w:p w:rsidR="008165A2" w:rsidRDefault="008165A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A7218C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165A2" w:rsidRPr="008165A2" w:rsidRDefault="00831750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18C">
        <w:rPr>
          <w:rFonts w:ascii="Times New Roman" w:hAnsi="Times New Roman" w:cs="Times New Roman"/>
          <w:sz w:val="32"/>
          <w:szCs w:val="32"/>
        </w:rPr>
        <w:t>Fourniture par UKAD</w:t>
      </w:r>
      <w:r>
        <w:rPr>
          <w:rFonts w:ascii="Times New Roman" w:hAnsi="Times New Roman" w:cs="Times New Roman"/>
          <w:sz w:val="24"/>
          <w:szCs w:val="24"/>
        </w:rPr>
        <w:t xml:space="preserve"> de deux lopins de 500mm et de 101.5mm de diamètre avec </w:t>
      </w:r>
      <w:proofErr w:type="gramStart"/>
      <w:r>
        <w:rPr>
          <w:rFonts w:ascii="Times New Roman" w:hAnsi="Times New Roman" w:cs="Times New Roman"/>
          <w:sz w:val="24"/>
          <w:szCs w:val="24"/>
        </w:rPr>
        <w:t>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certificat de conformité de composition chimique aux exigences du TA6VEli de l'ASTM F136. La gamme de transformation n'intègre pas d'étape de grande déformation de carré en carré.</w:t>
      </w:r>
    </w:p>
    <w:p w:rsidR="008165A2" w:rsidRDefault="008165A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31750" w:rsidRDefault="00831750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18C">
        <w:rPr>
          <w:rFonts w:ascii="Times New Roman" w:hAnsi="Times New Roman" w:cs="Times New Roman"/>
          <w:sz w:val="32"/>
          <w:szCs w:val="32"/>
        </w:rPr>
        <w:t>Les billettes ont été écroutées à 100</w:t>
      </w:r>
      <w:r w:rsidR="00B16025">
        <w:rPr>
          <w:rFonts w:ascii="Times New Roman" w:hAnsi="Times New Roman" w:cs="Times New Roman"/>
          <w:sz w:val="24"/>
          <w:szCs w:val="24"/>
        </w:rPr>
        <w:t xml:space="preserve"> 0/+0.20</w:t>
      </w:r>
      <w:r>
        <w:rPr>
          <w:rFonts w:ascii="Times New Roman" w:hAnsi="Times New Roman" w:cs="Times New Roman"/>
          <w:sz w:val="24"/>
          <w:szCs w:val="24"/>
        </w:rPr>
        <w:t>mm, puis forées d'un trou de 40.3 (Ratio ID/OD=0.4</w:t>
      </w:r>
      <w:r w:rsidR="00B16025">
        <w:rPr>
          <w:rFonts w:ascii="Times New Roman" w:hAnsi="Times New Roman" w:cs="Times New Roman"/>
          <w:sz w:val="24"/>
          <w:szCs w:val="24"/>
        </w:rPr>
        <w:t xml:space="preserve">, très </w:t>
      </w:r>
      <w:r w:rsidR="00B16025">
        <w:rPr>
          <w:rFonts w:ascii="Times New Roman" w:hAnsi="Times New Roman" w:cs="Times New Roman"/>
          <w:sz w:val="24"/>
          <w:szCs w:val="24"/>
        </w:rPr>
        <w:t>proche d</w:t>
      </w:r>
      <w:r w:rsidR="00B16025">
        <w:rPr>
          <w:rFonts w:ascii="Times New Roman" w:hAnsi="Times New Roman" w:cs="Times New Roman"/>
          <w:sz w:val="24"/>
          <w:szCs w:val="24"/>
        </w:rPr>
        <w:t>u ratio du</w:t>
      </w:r>
      <w:r w:rsidR="00B16025">
        <w:rPr>
          <w:rFonts w:ascii="Times New Roman" w:hAnsi="Times New Roman" w:cs="Times New Roman"/>
          <w:sz w:val="24"/>
          <w:szCs w:val="24"/>
        </w:rPr>
        <w:t xml:space="preserve"> 12.3x5.0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16025">
        <w:rPr>
          <w:rFonts w:ascii="Times New Roman" w:hAnsi="Times New Roman" w:cs="Times New Roman"/>
          <w:sz w:val="24"/>
          <w:szCs w:val="24"/>
        </w:rPr>
        <w:t>et contrôlées en Excentration par mesureur d'épaisseur U.S.</w:t>
      </w:r>
      <w:r w:rsidR="00CC413C">
        <w:rPr>
          <w:rFonts w:ascii="Times New Roman" w:hAnsi="Times New Roman" w:cs="Times New Roman"/>
          <w:sz w:val="24"/>
          <w:szCs w:val="24"/>
        </w:rPr>
        <w:t xml:space="preserve"> Les valeurs </w:t>
      </w:r>
      <w:proofErr w:type="gramStart"/>
      <w:r w:rsidR="00CC413C">
        <w:rPr>
          <w:rFonts w:ascii="Times New Roman" w:hAnsi="Times New Roman" w:cs="Times New Roman"/>
          <w:sz w:val="24"/>
          <w:szCs w:val="24"/>
        </w:rPr>
        <w:t>mesurée</w:t>
      </w:r>
      <w:proofErr w:type="gramEnd"/>
      <w:r w:rsidR="00CC413C">
        <w:rPr>
          <w:rFonts w:ascii="Times New Roman" w:hAnsi="Times New Roman" w:cs="Times New Roman"/>
          <w:sz w:val="24"/>
          <w:szCs w:val="24"/>
        </w:rPr>
        <w:t xml:space="preserve"> en bout de forage sont de 0.61% et 0.72% de OD (inférieur à 0.8% toléré par Forecreu)</w:t>
      </w:r>
    </w:p>
    <w:p w:rsidR="00831750" w:rsidRDefault="00831750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Les </w:t>
      </w:r>
      <w:r w:rsidR="00B16025">
        <w:rPr>
          <w:rFonts w:ascii="Times New Roman" w:hAnsi="Times New Roman" w:cs="Times New Roman"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 d'identification de billette n'ont pas été respectées</w:t>
      </w:r>
      <w:r w:rsidR="00B16025">
        <w:rPr>
          <w:rFonts w:ascii="Times New Roman" w:hAnsi="Times New Roman" w:cs="Times New Roman"/>
          <w:sz w:val="24"/>
          <w:szCs w:val="24"/>
        </w:rPr>
        <w:t>.</w:t>
      </w:r>
      <w:r w:rsidR="00CC413C">
        <w:rPr>
          <w:rFonts w:ascii="Times New Roman" w:hAnsi="Times New Roman" w:cs="Times New Roman"/>
          <w:sz w:val="24"/>
          <w:szCs w:val="24"/>
        </w:rPr>
        <w:t xml:space="preserve"> Le lotissement initial est perdu.</w:t>
      </w:r>
    </w:p>
    <w:p w:rsidR="00CC413C" w:rsidRDefault="00CC413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C413C" w:rsidRDefault="00CC413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218C">
        <w:rPr>
          <w:rFonts w:ascii="Times New Roman" w:hAnsi="Times New Roman" w:cs="Times New Roman"/>
          <w:sz w:val="32"/>
          <w:szCs w:val="32"/>
        </w:rPr>
        <w:t>Le filage a été réalisé le 24 Avril 2012</w:t>
      </w:r>
      <w:r>
        <w:rPr>
          <w:rFonts w:ascii="Times New Roman" w:hAnsi="Times New Roman" w:cs="Times New Roman"/>
          <w:sz w:val="24"/>
          <w:szCs w:val="24"/>
        </w:rPr>
        <w:t xml:space="preserve"> en présence de Mathieu BRUNEL.</w:t>
      </w:r>
    </w:p>
    <w:p w:rsidR="00CC413C" w:rsidRDefault="00CC413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conditions habituelles de filage sont appliquées. </w:t>
      </w:r>
      <w:r w:rsidR="00A03015">
        <w:rPr>
          <w:rFonts w:ascii="Times New Roman" w:hAnsi="Times New Roman" w:cs="Times New Roman"/>
          <w:sz w:val="24"/>
          <w:szCs w:val="24"/>
        </w:rPr>
        <w:t xml:space="preserve">Les2 billettes sont filées après 3 billettes et avant 4 billettes </w:t>
      </w:r>
      <w:r w:rsidR="00A03015">
        <w:rPr>
          <w:rFonts w:ascii="Times New Roman" w:hAnsi="Times New Roman" w:cs="Times New Roman"/>
          <w:sz w:val="24"/>
          <w:szCs w:val="24"/>
        </w:rPr>
        <w:t>de production</w:t>
      </w:r>
      <w:r w:rsidR="00A030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La déformation maximale de 100 à 20 n'a pas été testée. Pour utiliser les 500mm, le filage est fait en </w:t>
      </w:r>
      <w:r>
        <w:rPr>
          <w:rFonts w:ascii="Times New Roman" w:hAnsi="Times New Roman" w:cs="Times New Roman"/>
          <w:sz w:val="24"/>
          <w:szCs w:val="24"/>
        </w:rPr>
        <w:sym w:font="Symbol" w:char="F0C6"/>
      </w:r>
      <w:r>
        <w:rPr>
          <w:rFonts w:ascii="Times New Roman" w:hAnsi="Times New Roman" w:cs="Times New Roman"/>
          <w:sz w:val="24"/>
          <w:szCs w:val="24"/>
        </w:rPr>
        <w:t>23 après chauffage à 950°C avec puissance induction à 40% et sans maintien d'homogénéisation.</w:t>
      </w:r>
      <w:r w:rsidR="008B50FA">
        <w:rPr>
          <w:rFonts w:ascii="Times New Roman" w:hAnsi="Times New Roman" w:cs="Times New Roman"/>
          <w:sz w:val="24"/>
          <w:szCs w:val="24"/>
        </w:rPr>
        <w:t xml:space="preserve"> Le refroidissement a été fait à l'eau.</w:t>
      </w:r>
    </w:p>
    <w:p w:rsidR="00A7218C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tbl>
      <w:tblPr>
        <w:tblW w:w="10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2660"/>
        <w:gridCol w:w="1840"/>
        <w:gridCol w:w="3240"/>
      </w:tblGrid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Origine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TIMET 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UKAD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TIMET UK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Lot Fabrication Forecreu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12031903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12041201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12031810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Nuance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TA6VELI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TA6VELI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TA6VELI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Nbre Billettes du lot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Diamètre Conteneur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105</w:t>
            </w:r>
          </w:p>
        </w:tc>
      </w:tr>
      <w:tr w:rsidR="00924915" w:rsidRPr="00924915" w:rsidTr="00924915">
        <w:trPr>
          <w:trHeight w:val="42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Diamètre Filé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21.2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23.2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20.2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Geométrie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TC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LgBill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500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450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Température chauffage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950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Ouverture Vanne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Inducteurs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1, 2 et 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 et 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3, 1, 2 et 3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Effort au Pic (</w:t>
            </w: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kN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7100, 6290 et 6296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7041 et 6976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6666, 7712, 7085 et 6483</w:t>
            </w:r>
          </w:p>
        </w:tc>
      </w:tr>
      <w:tr w:rsidR="00924915" w:rsidRPr="00924915" w:rsidTr="00924915">
        <w:trPr>
          <w:trHeight w:val="37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Effort moyen Palier (</w:t>
            </w: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kN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5737, 5127 et 5547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6379 et 5676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5735, 6023, 5735 et 5603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Effort </w:t>
            </w: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Debut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Palier (</w:t>
            </w: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kN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6134, 5354 et 5480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6563 et 5919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5621, 6475, 5915 et 5622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Effort Fin Palier (</w:t>
            </w: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kN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6719, 5752 et 6323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6462 et 6690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6672, 6464, 6494 et 6592</w:t>
            </w:r>
          </w:p>
        </w:tc>
      </w:tr>
      <w:tr w:rsidR="00924915" w:rsidRPr="00924915" w:rsidTr="00924915">
        <w:trPr>
          <w:trHeight w:val="37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Vitesse moyenne (s)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59, 59 et 60.4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53.5 et 58.4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57.7, 56.6, 52.9 et 58.1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Vitesse </w:t>
            </w: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Debut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Palier (s)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60, 63 et 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54 et 61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63, 58, 63 et 62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Vitesse Fin Palier (mm/s)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13, 35 et 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50 et 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46, 47, 14 et 46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Résistance Mesurée (MPa)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334, 299 et 323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394 et 351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325, 341, 325, 317</w:t>
            </w:r>
          </w:p>
        </w:tc>
      </w:tr>
      <w:tr w:rsidR="00924915" w:rsidRPr="00924915" w:rsidTr="00924915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Duree</w:t>
            </w:r>
            <w:proofErr w:type="spellEnd"/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Enregistrement (s)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8.29, 8.28 et 8.29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8.35 et 8.29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8.28, 8.28, 8.30, 8.30</w:t>
            </w:r>
          </w:p>
        </w:tc>
      </w:tr>
      <w:tr w:rsidR="00924915" w:rsidRPr="00924915" w:rsidTr="00924915">
        <w:trPr>
          <w:trHeight w:val="630"/>
        </w:trPr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Temps entre chaque </w:t>
            </w:r>
            <w:r w:rsidR="00A03015"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billette </w:t>
            </w: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(cadence)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18mn10s</w:t>
            </w: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et 16mn00s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15mn07s</w:t>
            </w: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br/>
              <w:t>et 16mn55s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15" w:rsidRPr="00924915" w:rsidRDefault="00924915" w:rsidP="009249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t>15mn20s, 19mn50s</w:t>
            </w:r>
            <w:r w:rsidRPr="009249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fr-FR"/>
              </w:rPr>
              <w:br/>
              <w:t>16mn20s et 14mn10s</w:t>
            </w:r>
          </w:p>
        </w:tc>
      </w:tr>
    </w:tbl>
    <w:p w:rsidR="00FC5252" w:rsidRDefault="00FC5252" w:rsidP="008165A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A7218C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A7218C" w:rsidRPr="00924915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FC5252" w:rsidRPr="00924915" w:rsidRDefault="00FC5252" w:rsidP="008165A2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FC5252" w:rsidRPr="00A03015" w:rsidRDefault="00A03015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A03015">
        <w:rPr>
          <w:rFonts w:ascii="Times New Roman" w:hAnsi="Times New Roman" w:cs="Times New Roman"/>
          <w:sz w:val="24"/>
          <w:szCs w:val="24"/>
        </w:rPr>
        <w:lastRenderedPageBreak/>
        <w:t>Les résultats de</w:t>
      </w:r>
      <w:r w:rsidR="00C24CC5">
        <w:rPr>
          <w:rFonts w:ascii="Times New Roman" w:hAnsi="Times New Roman" w:cs="Times New Roman"/>
          <w:sz w:val="24"/>
          <w:szCs w:val="24"/>
        </w:rPr>
        <w:t xml:space="preserve"> filage de</w:t>
      </w:r>
      <w:r w:rsidRPr="00A03015">
        <w:rPr>
          <w:rFonts w:ascii="Times New Roman" w:hAnsi="Times New Roman" w:cs="Times New Roman"/>
          <w:sz w:val="24"/>
          <w:szCs w:val="24"/>
        </w:rPr>
        <w:t xml:space="preserve">s billettes UKAD </w:t>
      </w:r>
      <w:r w:rsidR="00C24CC5">
        <w:rPr>
          <w:rFonts w:ascii="Times New Roman" w:hAnsi="Times New Roman" w:cs="Times New Roman"/>
          <w:sz w:val="24"/>
          <w:szCs w:val="24"/>
        </w:rPr>
        <w:t xml:space="preserve">s'intègrent dans les enregistrements habituels de </w:t>
      </w:r>
      <w:r w:rsidRPr="00A03015">
        <w:rPr>
          <w:rFonts w:ascii="Times New Roman" w:hAnsi="Times New Roman" w:cs="Times New Roman"/>
          <w:sz w:val="24"/>
          <w:szCs w:val="24"/>
        </w:rPr>
        <w:t>production</w:t>
      </w:r>
      <w:r w:rsidR="00C24CC5">
        <w:rPr>
          <w:rFonts w:ascii="Times New Roman" w:hAnsi="Times New Roman" w:cs="Times New Roman"/>
          <w:sz w:val="24"/>
          <w:szCs w:val="24"/>
        </w:rPr>
        <w:t>.</w:t>
      </w:r>
    </w:p>
    <w:p w:rsidR="00A7218C" w:rsidRDefault="003B4E41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B4E41">
        <w:drawing>
          <wp:inline distT="0" distB="0" distL="0" distR="0" wp14:anchorId="3ECBAFC5" wp14:editId="2722EC7D">
            <wp:extent cx="5443370" cy="2894976"/>
            <wp:effectExtent l="0" t="0" r="508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587" cy="28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E41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Courbes d'efforts de filage.</w:t>
      </w:r>
    </w:p>
    <w:p w:rsidR="003B4E41" w:rsidRDefault="003B4E41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A7218C" w:rsidRDefault="003B4E41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3B4E41">
        <w:drawing>
          <wp:inline distT="0" distB="0" distL="0" distR="0" wp14:anchorId="41726FB5" wp14:editId="5E34482C">
            <wp:extent cx="5443370" cy="2624866"/>
            <wp:effectExtent l="0" t="0" r="5080" b="444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175" cy="26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E41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Courbes de vitesse d'avance du fouloir.</w:t>
      </w:r>
    </w:p>
    <w:p w:rsidR="003B4E41" w:rsidRDefault="003B4E41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8B50FA" w:rsidRDefault="008B50FA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A03015">
        <w:rPr>
          <w:rFonts w:ascii="Times New Roman" w:hAnsi="Times New Roman" w:cs="Times New Roman"/>
          <w:sz w:val="24"/>
          <w:szCs w:val="24"/>
        </w:rPr>
        <w:tab/>
      </w:r>
      <w:r w:rsidRPr="00A7218C">
        <w:rPr>
          <w:rFonts w:ascii="Times New Roman" w:hAnsi="Times New Roman" w:cs="Times New Roman"/>
          <w:sz w:val="32"/>
          <w:szCs w:val="32"/>
        </w:rPr>
        <w:t>Le contrôle d'ovalisation</w:t>
      </w:r>
      <w:r>
        <w:rPr>
          <w:rFonts w:ascii="Times New Roman" w:hAnsi="Times New Roman" w:cs="Times New Roman"/>
          <w:sz w:val="24"/>
          <w:szCs w:val="24"/>
        </w:rPr>
        <w:t xml:space="preserve"> est appliqué aux extrémités et au milieu des barres </w:t>
      </w:r>
    </w:p>
    <w:p w:rsidR="00CC413C" w:rsidRDefault="008B50FA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(S=&gt;Soie=début de filage, M=&gt;Milieu, C=&gt;culot=Fin de filage)</w:t>
      </w:r>
    </w:p>
    <w:p w:rsidR="00A7218C" w:rsidRDefault="00A7218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CC413C" w:rsidRDefault="00CC413C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798164" cy="2098623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A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10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21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802835" cy="210212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A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902" cy="210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3C" w:rsidRDefault="00AA5219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Barres UKAD filées en </w:t>
      </w:r>
      <w:r>
        <w:rPr>
          <w:rFonts w:ascii="Times New Roman" w:hAnsi="Times New Roman" w:cs="Times New Roman"/>
          <w:sz w:val="24"/>
          <w:szCs w:val="24"/>
        </w:rPr>
        <w:sym w:font="Symbol" w:char="F0C6"/>
      </w:r>
      <w:r>
        <w:rPr>
          <w:rFonts w:ascii="Times New Roman" w:hAnsi="Times New Roman" w:cs="Times New Roman"/>
          <w:sz w:val="24"/>
          <w:szCs w:val="24"/>
        </w:rPr>
        <w:t>23</w:t>
      </w:r>
      <w:r w:rsidR="00421929">
        <w:rPr>
          <w:rFonts w:ascii="Times New Roman" w:hAnsi="Times New Roman" w:cs="Times New Roman"/>
          <w:sz w:val="24"/>
          <w:szCs w:val="24"/>
        </w:rPr>
        <w:t xml:space="preserve">x9.0,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839"/>
        <w:gridCol w:w="1114"/>
        <w:gridCol w:w="790"/>
        <w:gridCol w:w="1166"/>
        <w:gridCol w:w="1100"/>
        <w:gridCol w:w="1418"/>
        <w:gridCol w:w="1417"/>
      </w:tblGrid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lastRenderedPageBreak/>
              <w:t>Article 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Lot :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Coulée 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Nb </w:t>
            </w:r>
            <w:proofErr w:type="spellStart"/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Ech</w:t>
            </w:r>
            <w:proofErr w:type="spellEnd"/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 xml:space="preserve"> 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Unité :</w:t>
            </w:r>
          </w:p>
        </w:tc>
      </w:tr>
      <w:tr w:rsidR="00AA5219" w:rsidRPr="00AA5219" w:rsidTr="00AA5219">
        <w:trPr>
          <w:trHeight w:val="315"/>
        </w:trPr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TA6VELIHS/20.4E/8.0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12041201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KZ23S03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mm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Échantillon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Surface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GX (mm)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GY (mm)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iamètre </w:t>
            </w: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moy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Forme trou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Ovalisation (%)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Excentration (%)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347.821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15.711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11.836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22.841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Circulaire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0.466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62.161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15.815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11.859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8.902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fr-FR"/>
              </w:rPr>
              <w:t>7.445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344.081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14.082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11.944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22.855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Circulaire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0.529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66.511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14.202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11.926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9.209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336.266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16.038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11.814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22.931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Circulaire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0.491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77.018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15.925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11.821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9.91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341.333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18.198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11.718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22.773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Circulaire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0.391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66.27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18.181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11.806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9.192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4.913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345.951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12.551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12.061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22.848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Circulaire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0.346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M2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64.383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12.519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11.988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9.061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4.919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339.752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17.171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11.644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22.887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Circulaire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0.577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0.074</w:t>
            </w:r>
          </w:p>
        </w:tc>
      </w:tr>
      <w:tr w:rsidR="00AA5219" w:rsidRPr="00AA5219" w:rsidTr="00AA5219">
        <w:trPr>
          <w:trHeight w:val="31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71.939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17.175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11.661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9.579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Carrée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A52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219" w:rsidRPr="00AA5219" w:rsidRDefault="00AA5219" w:rsidP="00AA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B16025" w:rsidRDefault="0074738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L'ovalisation de la Soie S1 est à 7.5 pour un maxi acceptable à 7%.</w:t>
      </w:r>
    </w:p>
    <w:p w:rsidR="00747382" w:rsidRDefault="0074738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L'ensemble des sections observées </w:t>
      </w:r>
      <w:r w:rsidR="00421929">
        <w:rPr>
          <w:rFonts w:ascii="Times New Roman" w:hAnsi="Times New Roman" w:cs="Times New Roman"/>
          <w:sz w:val="24"/>
          <w:szCs w:val="24"/>
        </w:rPr>
        <w:t>présente</w:t>
      </w:r>
      <w:r>
        <w:rPr>
          <w:rFonts w:ascii="Times New Roman" w:hAnsi="Times New Roman" w:cs="Times New Roman"/>
          <w:sz w:val="24"/>
          <w:szCs w:val="24"/>
        </w:rPr>
        <w:t xml:space="preserve"> une forme carrée pour le trou.</w:t>
      </w:r>
    </w:p>
    <w:p w:rsidR="00421929" w:rsidRDefault="00747382" w:rsidP="00421929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comparaisons avec des photos sur les produits en encours de fabrication montrent que le </w:t>
      </w:r>
      <w:r w:rsidR="00421929">
        <w:rPr>
          <w:rFonts w:ascii="Times New Roman" w:hAnsi="Times New Roman" w:cs="Times New Roman"/>
          <w:sz w:val="24"/>
          <w:szCs w:val="24"/>
        </w:rPr>
        <w:t>défaut</w:t>
      </w:r>
      <w:r w:rsidR="00C24CC5">
        <w:rPr>
          <w:rFonts w:ascii="Times New Roman" w:hAnsi="Times New Roman" w:cs="Times New Roman"/>
          <w:sz w:val="24"/>
          <w:szCs w:val="24"/>
        </w:rPr>
        <w:t xml:space="preserve"> </w:t>
      </w:r>
      <w:r w:rsidR="00421929">
        <w:rPr>
          <w:rFonts w:ascii="Times New Roman" w:hAnsi="Times New Roman" w:cs="Times New Roman"/>
          <w:sz w:val="24"/>
          <w:szCs w:val="24"/>
        </w:rPr>
        <w:t xml:space="preserve">n'est pas plus grave sur le </w:t>
      </w:r>
      <w:proofErr w:type="spellStart"/>
      <w:r w:rsidR="0042192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421929">
        <w:rPr>
          <w:rFonts w:ascii="Times New Roman" w:hAnsi="Times New Roman" w:cs="Times New Roman"/>
          <w:sz w:val="24"/>
          <w:szCs w:val="24"/>
        </w:rPr>
        <w:t xml:space="preserve"> UKAD que sur les </w:t>
      </w:r>
      <w:proofErr w:type="spellStart"/>
      <w:r w:rsidR="0042192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421929">
        <w:rPr>
          <w:rFonts w:ascii="Times New Roman" w:hAnsi="Times New Roman" w:cs="Times New Roman"/>
          <w:sz w:val="24"/>
          <w:szCs w:val="24"/>
        </w:rPr>
        <w:t xml:space="preserve"> TIMET U.K.</w:t>
      </w:r>
    </w:p>
    <w:p w:rsidR="00747382" w:rsidRDefault="00421929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150704" cy="236302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6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328" cy="236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180521" cy="2385391"/>
            <wp:effectExtent l="0" t="0" r="127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6.1-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142" cy="238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C62" w:rsidRDefault="00EB2C62" w:rsidP="00EB2C6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Lot  12031380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Lot 12031381 </w:t>
      </w:r>
    </w:p>
    <w:p w:rsidR="00EB2C62" w:rsidRDefault="00EB2C62" w:rsidP="00EB2C6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Milieux de </w:t>
      </w:r>
      <w:r>
        <w:rPr>
          <w:rFonts w:ascii="Times New Roman" w:hAnsi="Times New Roman" w:cs="Times New Roman"/>
          <w:sz w:val="24"/>
          <w:szCs w:val="24"/>
        </w:rPr>
        <w:t xml:space="preserve">Barres </w:t>
      </w:r>
      <w:r>
        <w:rPr>
          <w:rFonts w:ascii="Times New Roman" w:hAnsi="Times New Roman" w:cs="Times New Roman"/>
          <w:sz w:val="24"/>
          <w:szCs w:val="24"/>
        </w:rPr>
        <w:t xml:space="preserve">TIMET 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filées en </w:t>
      </w:r>
      <w:r>
        <w:rPr>
          <w:rFonts w:ascii="Times New Roman" w:hAnsi="Times New Roman" w:cs="Times New Roman"/>
          <w:sz w:val="24"/>
          <w:szCs w:val="24"/>
        </w:rPr>
        <w:sym w:font="Symbol" w:char="F0C6"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1929" w:rsidRDefault="00421929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B2C62" w:rsidRDefault="00EB2C6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B2C62" w:rsidRDefault="00EB2C6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A7218C">
        <w:rPr>
          <w:rFonts w:ascii="Times New Roman" w:hAnsi="Times New Roman" w:cs="Times New Roman"/>
          <w:sz w:val="32"/>
          <w:szCs w:val="32"/>
        </w:rPr>
        <w:t>Pour l'instant, rien d'anormal</w:t>
      </w:r>
      <w:r>
        <w:rPr>
          <w:rFonts w:ascii="Times New Roman" w:hAnsi="Times New Roman" w:cs="Times New Roman"/>
          <w:sz w:val="24"/>
          <w:szCs w:val="24"/>
        </w:rPr>
        <w:t>, ni rien d'exceptionnel dans les résultats observés.</w:t>
      </w:r>
    </w:p>
    <w:p w:rsidR="00EB2C62" w:rsidRDefault="00EB2C6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barres filées en 23x9.0 vont être étirées jusqu'à 16x5.1, recuites, puis étirées jusqu'à 10.7x3.5.</w:t>
      </w:r>
    </w:p>
    <w:p w:rsidR="00EB2C62" w:rsidRDefault="00EB2C6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contrôle géométrique des barres étirées sont planifiés pour mi-juillet pour le 15x5.1 et pour fin Aout pour le 10.7x 3.5.</w:t>
      </w:r>
    </w:p>
    <w:p w:rsidR="00EB2C62" w:rsidRDefault="00EB2C62" w:rsidP="008165A2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B2C62" w:rsidRPr="00A7218C" w:rsidRDefault="00EB2C62" w:rsidP="008165A2">
      <w:pPr>
        <w:pStyle w:val="Sansinterligne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A7218C">
        <w:rPr>
          <w:rFonts w:ascii="Times New Roman" w:hAnsi="Times New Roman" w:cs="Times New Roman"/>
          <w:sz w:val="32"/>
          <w:szCs w:val="32"/>
        </w:rPr>
        <w:t>À suivre !</w:t>
      </w:r>
      <w:bookmarkEnd w:id="0"/>
    </w:p>
    <w:sectPr w:rsidR="00EB2C62" w:rsidRPr="00A7218C" w:rsidSect="008B50F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A2"/>
    <w:rsid w:val="003B4E41"/>
    <w:rsid w:val="00421929"/>
    <w:rsid w:val="004F3D33"/>
    <w:rsid w:val="005E27FD"/>
    <w:rsid w:val="00747382"/>
    <w:rsid w:val="008165A2"/>
    <w:rsid w:val="00831750"/>
    <w:rsid w:val="008B50FA"/>
    <w:rsid w:val="00924915"/>
    <w:rsid w:val="00A03015"/>
    <w:rsid w:val="00A7218C"/>
    <w:rsid w:val="00AA5219"/>
    <w:rsid w:val="00B16025"/>
    <w:rsid w:val="00C24CC5"/>
    <w:rsid w:val="00CC413C"/>
    <w:rsid w:val="00EB2C62"/>
    <w:rsid w:val="00F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6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6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FORECREU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 FRAYSSE</dc:creator>
  <cp:keywords/>
  <dc:description>Pré rapport UKAD filage 1300t Forecreu</dc:description>
  <cp:lastModifiedBy>Jean Luc FRAYSSE</cp:lastModifiedBy>
  <cp:revision>9</cp:revision>
  <dcterms:created xsi:type="dcterms:W3CDTF">2012-05-31T08:55:00Z</dcterms:created>
  <dcterms:modified xsi:type="dcterms:W3CDTF">2012-05-31T15:21:00Z</dcterms:modified>
</cp:coreProperties>
</file>