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968CB" w14:textId="77777777" w:rsidR="00081924" w:rsidRDefault="00081924" w:rsidP="002D12BA">
      <w:pPr>
        <w:spacing w:after="0" w:line="240" w:lineRule="auto"/>
        <w:ind w:firstLine="708"/>
        <w:jc w:val="center"/>
        <w:rPr>
          <w:rFonts w:ascii="Times-BoldItalic" w:hAnsi="Times-BoldItalic" w:cs="Times-BoldItalic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14:paraId="7A350D53" w14:textId="31D86B84" w:rsidR="004F2A14" w:rsidRPr="002D12BA" w:rsidRDefault="00494932" w:rsidP="002D12BA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fr-FR"/>
        </w:rPr>
      </w:pPr>
      <w:r>
        <w:rPr>
          <w:rFonts w:ascii="Arial" w:eastAsia="Times New Roman" w:hAnsi="Arial" w:cs="Arial"/>
          <w:b/>
          <w:color w:val="444444"/>
          <w:sz w:val="28"/>
          <w:szCs w:val="28"/>
          <w:u w:val="single"/>
          <w:lang w:eastAsia="fr-FR"/>
        </w:rPr>
        <w:t>Le Kazakhstan, une puissance régionale à vocation mondiale</w:t>
      </w:r>
    </w:p>
    <w:p w14:paraId="1605FFCD" w14:textId="77777777" w:rsidR="00081924" w:rsidRDefault="00081924" w:rsidP="002D12BA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</w:pPr>
    </w:p>
    <w:p w14:paraId="34664E5B" w14:textId="68D65F95" w:rsidR="009E4792" w:rsidRDefault="00904DF9" w:rsidP="002D12BA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  <w:t>Mathieu Bou</w:t>
      </w:r>
      <w:r w:rsidR="00494932"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  <w:t>l</w:t>
      </w:r>
      <w:r w:rsidR="00AA7950"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  <w:t>è</w:t>
      </w:r>
      <w:r w:rsidR="00494932"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  <w:t>gue</w:t>
      </w:r>
    </w:p>
    <w:p w14:paraId="40FFC924" w14:textId="110A73AB" w:rsidR="009E4792" w:rsidRDefault="00494932" w:rsidP="002D12BA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  <w:t>Esprit</w:t>
      </w:r>
    </w:p>
    <w:p w14:paraId="7F331CF5" w14:textId="77777777" w:rsidR="00081924" w:rsidRPr="00E93839" w:rsidRDefault="00081924" w:rsidP="002D12BA">
      <w:pPr>
        <w:spacing w:after="0" w:line="240" w:lineRule="auto"/>
        <w:ind w:firstLine="708"/>
        <w:jc w:val="center"/>
        <w:rPr>
          <w:rFonts w:ascii="Arial" w:eastAsia="Times New Roman" w:hAnsi="Arial" w:cs="Arial"/>
          <w:i/>
          <w:color w:val="444444"/>
          <w:sz w:val="24"/>
          <w:szCs w:val="24"/>
          <w:lang w:eastAsia="fr-FR"/>
        </w:rPr>
      </w:pPr>
    </w:p>
    <w:p w14:paraId="39C9BAC2" w14:textId="5975594D" w:rsidR="007955F5" w:rsidRDefault="00494932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Les programmes lancés</w:t>
      </w:r>
      <w:r w:rsidR="006E2BC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par le président </w:t>
      </w:r>
      <w:proofErr w:type="spellStart"/>
      <w:r w:rsidR="006E2BC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Nazarbaïev</w:t>
      </w:r>
      <w:proofErr w:type="spellEnd"/>
      <w:r w:rsidR="006E2BC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visent à faire du Kazakhstan l’un des trente pays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6E2BC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les plus développés du monde. Cet Etat centrasiatique dispose d’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énormé</w:t>
      </w:r>
      <w:r w:rsidR="006E2BC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ment d’atouts. Il a pu être qualifié de «  scandale géologique » Il concentre la quasi-totalité 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des diverses ressources minérales :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pétrole, gaz, uranium, charbon, terres rares, métaux précieux. Ses abondantes ressources énergétiques constituent un facteur de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développement socioé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conomique. Elles fournissent la moitié des revenus d’exportations. Le pays se place dans le top 10</w:t>
      </w:r>
      <w:r w:rsidR="00496EE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des producteurs d’hydrocarbures ainsi que pour les réserves prouvées. L’arrivée massive d’investisseme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nts étrangers a permis de tripler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la production.</w:t>
      </w:r>
    </w:p>
    <w:p w14:paraId="5C9EC8E6" w14:textId="1334367F" w:rsidR="007955F5" w:rsidRDefault="007955F5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L’uranium apporte un atout majeur. Le pays reste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le premier producteur au monde et dispose de la deuxième ré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serve mondiale.</w:t>
      </w:r>
    </w:p>
    <w:p w14:paraId="7DBA18F9" w14:textId="03BA77A4" w:rsidR="007955F5" w:rsidRDefault="00731667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Le gaz est surtout util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isé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dans la production pétrolière étan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t 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directement ré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injecté dans les systèmes d’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extraction des 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hydrocarbures pour faciliter</w:t>
      </w:r>
      <w:r w:rsidR="00AA7950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l</w:t>
      </w:r>
      <w:r w:rsidR="007955F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’exploitation.</w:t>
      </w:r>
    </w:p>
    <w:p w14:paraId="3C95D206" w14:textId="0CE9D12C" w:rsidR="007955F5" w:rsidRDefault="00C46532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Le Kazakhstan dispose d’un d’important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potentiel en énergies renouvelables. Des programmes importants ont été lancés pour créer les conditions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de structures vertes.</w:t>
      </w:r>
    </w:p>
    <w:p w14:paraId="7F7C30F1" w14:textId="253CFFC0" w:rsidR="00C46532" w:rsidRDefault="00C46532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Depuis plus de 20 ans le pays pratique une stratégie pour attirer les investisse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ments étrangers. Il collabore no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tamment avec Total et Areva.</w:t>
      </w:r>
    </w:p>
    <w:p w14:paraId="5B10B284" w14:textId="130406B0" w:rsidR="00C46532" w:rsidRDefault="00C46532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Mais le Kazakhstan souffre de plusieurs handicaps.  Le président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Nazarbaïev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s’est attribué le titre de leader de la nation avec la possibilité de disposer d’un nombre illimité de mandats présidentiels.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Il assure pratiquer une démocratie adaptée aux contraintes nationales !</w:t>
      </w:r>
    </w:p>
    <w:p w14:paraId="376DA9C3" w14:textId="4A6B57DD" w:rsidR="00C46532" w:rsidRDefault="00C46532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Après avoir connu une décennie dorée le pays est touché négativeme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nt par les chocs venus de Russi</w:t>
      </w:r>
      <w:r w:rsidR="00AE1DD2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e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,</w:t>
      </w:r>
      <w:r w:rsidR="00AE1DD2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la dépréciatio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n du rouble,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>la chute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des cours du pétrole</w:t>
      </w:r>
      <w:r w:rsidR="00A8023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. La </w:t>
      </w:r>
      <w:r w:rsidR="006242F1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croissance du PNB s’est ralentie</w:t>
      </w:r>
      <w:r w:rsidR="00A8023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. La</w:t>
      </w:r>
      <w:r w:rsidR="00A8023E" w:rsidRPr="00A8023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</w:t>
      </w:r>
      <w:r w:rsidR="00A8023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diversification de l’économie nécessite d’attirer des investissements étrangers encore plus importants. Mais le pays n’est pas bien positionné dan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s les classements internationaux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concernant la corruption (126ème</w:t>
      </w:r>
      <w:r w:rsidR="00A8023E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)</w:t>
      </w:r>
    </w:p>
    <w:p w14:paraId="2BDA45D2" w14:textId="6CBCF194" w:rsidR="00A8023E" w:rsidRDefault="00A8023E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Le super gisement offshore qui constitue une des plus grosses découvertes mondiales avec ses 5400 milliards de tonnes de pétrole 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prend du retard. Il a déjà fait l’objet de 50 milliards de dollars d’investissement mais le consortium </w:t>
      </w:r>
      <w:r w:rsidR="00731667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dont Total possède 16,81% a été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obligé d’annuler la mise en production en raison d’importantes f</w:t>
      </w:r>
      <w:r w:rsidR="00EF583A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uites de gaz qui ont endommagé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 les oléoducs</w:t>
      </w:r>
    </w:p>
    <w:p w14:paraId="0D2380E2" w14:textId="17A3C32B" w:rsidR="00154EE5" w:rsidRDefault="00731667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fr-FR"/>
        </w:rPr>
        <w:t xml:space="preserve">Le Kazakhstan veut </w:t>
      </w:r>
      <w:r w:rsidR="00154EE5">
        <w:rPr>
          <w:rFonts w:ascii="Arial" w:eastAsia="Times New Roman" w:hAnsi="Arial" w:cs="Arial"/>
          <w:color w:val="444444"/>
          <w:sz w:val="24"/>
          <w:szCs w:val="24"/>
          <w:lang w:eastAsia="fr-FR"/>
        </w:rPr>
        <w:t>renforcer sa position de leader dans l’équilibre géopolitique de l’Asie centrale.</w:t>
      </w:r>
    </w:p>
    <w:p w14:paraId="69AB03FA" w14:textId="77777777" w:rsidR="00081924" w:rsidRPr="00F81509" w:rsidRDefault="00081924" w:rsidP="00D84122">
      <w:pPr>
        <w:spacing w:after="0" w:line="234" w:lineRule="atLeast"/>
        <w:jc w:val="both"/>
        <w:rPr>
          <w:rFonts w:ascii="Arial" w:eastAsia="Times New Roman" w:hAnsi="Arial" w:cs="Arial"/>
          <w:color w:val="444444"/>
          <w:sz w:val="24"/>
          <w:szCs w:val="24"/>
          <w:lang w:eastAsia="fr-FR"/>
        </w:rPr>
      </w:pPr>
    </w:p>
    <w:p w14:paraId="4523C0B9" w14:textId="266B3CA3" w:rsidR="007B4B9C" w:rsidRDefault="003769CE" w:rsidP="003A6FFD">
      <w:pPr>
        <w:spacing w:after="0" w:line="234" w:lineRule="atLeast"/>
        <w:jc w:val="both"/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>Pour</w:t>
      </w:r>
      <w:r w:rsidR="009E4792" w:rsidRPr="007304BA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 </w:t>
      </w:r>
      <w:r w:rsidR="00F1360A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aller plus loin </w:t>
      </w:r>
      <w:r w:rsidR="00375DAA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avec </w:t>
      </w:r>
      <w:r w:rsidR="00731667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Mathieu </w:t>
      </w:r>
      <w:r w:rsidR="00AA7950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>Boulè</w:t>
      </w:r>
      <w:r w:rsidR="00731667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>gue Etudes octobre 2015 en kiosque 12€</w:t>
      </w:r>
      <w:r w:rsidR="003A6FFD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                      </w:t>
      </w:r>
    </w:p>
    <w:p w14:paraId="320C92D4" w14:textId="54E4D422" w:rsidR="002F1C22" w:rsidRDefault="007B4B9C" w:rsidP="00081924">
      <w:pPr>
        <w:spacing w:after="0" w:line="234" w:lineRule="atLeast"/>
        <w:ind w:left="1416"/>
        <w:jc w:val="both"/>
        <w:rPr>
          <w:rFonts w:ascii="Arial" w:hAnsi="Arial" w:cs="Arial"/>
          <w:b/>
          <w:color w:val="444444"/>
        </w:rPr>
      </w:pPr>
      <w:r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 </w:t>
      </w:r>
      <w:r w:rsidR="003A6FFD">
        <w:rPr>
          <w:rFonts w:ascii="Arial" w:eastAsia="Times New Roman" w:hAnsi="Arial" w:cs="Arial"/>
          <w:i/>
          <w:color w:val="444444"/>
          <w:sz w:val="20"/>
          <w:szCs w:val="20"/>
          <w:lang w:eastAsia="fr-FR"/>
        </w:rPr>
        <w:t xml:space="preserve"> </w:t>
      </w:r>
      <w:r w:rsidR="00081924">
        <w:rPr>
          <w:rFonts w:ascii="Arial" w:hAnsi="Arial" w:cs="Arial"/>
          <w:b/>
          <w:color w:val="444444"/>
        </w:rPr>
        <w:t xml:space="preserve"> </w:t>
      </w:r>
    </w:p>
    <w:p w14:paraId="2573FAB2" w14:textId="77777777" w:rsidR="006C23DE" w:rsidRDefault="006C23DE" w:rsidP="002F1C22">
      <w:pPr>
        <w:spacing w:after="0"/>
        <w:jc w:val="center"/>
        <w:rPr>
          <w:rFonts w:ascii="Arial" w:hAnsi="Arial" w:cs="Arial"/>
          <w:b/>
          <w:color w:val="444444"/>
        </w:rPr>
      </w:pPr>
    </w:p>
    <w:p w14:paraId="372DE2AA" w14:textId="77777777" w:rsidR="006C23DE" w:rsidRDefault="006C23DE" w:rsidP="006C23DE">
      <w:pPr>
        <w:spacing w:after="0"/>
        <w:rPr>
          <w:rFonts w:ascii="Arial" w:hAnsi="Arial" w:cs="Arial"/>
          <w:b/>
          <w:color w:val="444444"/>
          <w:sz w:val="28"/>
          <w:szCs w:val="28"/>
        </w:rPr>
      </w:pPr>
    </w:p>
    <w:p w14:paraId="586E5CF3" w14:textId="77777777" w:rsidR="002D12BA" w:rsidRDefault="002D12BA" w:rsidP="006C23DE">
      <w:pPr>
        <w:spacing w:after="0"/>
        <w:rPr>
          <w:rFonts w:ascii="Arial" w:hAnsi="Arial" w:cs="Arial"/>
          <w:b/>
          <w:color w:val="444444"/>
          <w:sz w:val="28"/>
          <w:szCs w:val="28"/>
        </w:rPr>
      </w:pPr>
    </w:p>
    <w:p w14:paraId="1CF0C9F8" w14:textId="77777777" w:rsidR="002D12BA" w:rsidRDefault="002D12BA" w:rsidP="006C23DE">
      <w:pPr>
        <w:spacing w:after="0"/>
        <w:rPr>
          <w:rFonts w:ascii="Arial" w:hAnsi="Arial" w:cs="Arial"/>
          <w:b/>
          <w:color w:val="444444"/>
          <w:sz w:val="28"/>
          <w:szCs w:val="28"/>
        </w:rPr>
      </w:pPr>
    </w:p>
    <w:p w14:paraId="5C80F3F4" w14:textId="77777777" w:rsidR="002D12BA" w:rsidRDefault="002D12BA" w:rsidP="006C23DE">
      <w:pPr>
        <w:spacing w:after="0"/>
        <w:rPr>
          <w:rFonts w:ascii="Arial" w:hAnsi="Arial" w:cs="Arial"/>
          <w:b/>
          <w:color w:val="444444"/>
          <w:sz w:val="28"/>
          <w:szCs w:val="28"/>
        </w:rPr>
      </w:pPr>
    </w:p>
    <w:sectPr w:rsidR="002D12BA" w:rsidSect="003F6F14">
      <w:pgSz w:w="11907" w:h="16840" w:code="9"/>
      <w:pgMar w:top="1417" w:right="1417" w:bottom="1417" w:left="141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Italic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F1D20"/>
    <w:multiLevelType w:val="hybridMultilevel"/>
    <w:tmpl w:val="C518C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957FA"/>
    <w:multiLevelType w:val="hybridMultilevel"/>
    <w:tmpl w:val="64240ECC"/>
    <w:lvl w:ilvl="0" w:tplc="97229318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74215A43"/>
    <w:multiLevelType w:val="hybridMultilevel"/>
    <w:tmpl w:val="59A2346C"/>
    <w:lvl w:ilvl="0" w:tplc="1B0E4346">
      <w:start w:val="7"/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92"/>
    <w:rsid w:val="00005735"/>
    <w:rsid w:val="00036D51"/>
    <w:rsid w:val="0008059F"/>
    <w:rsid w:val="00081924"/>
    <w:rsid w:val="00090446"/>
    <w:rsid w:val="0009728A"/>
    <w:rsid w:val="000A386A"/>
    <w:rsid w:val="000B2B09"/>
    <w:rsid w:val="000C659D"/>
    <w:rsid w:val="000F0499"/>
    <w:rsid w:val="000F30F4"/>
    <w:rsid w:val="00117F32"/>
    <w:rsid w:val="00145E86"/>
    <w:rsid w:val="00150C26"/>
    <w:rsid w:val="00154EE5"/>
    <w:rsid w:val="001570A7"/>
    <w:rsid w:val="00164B3A"/>
    <w:rsid w:val="001964ED"/>
    <w:rsid w:val="001B162E"/>
    <w:rsid w:val="001E22CC"/>
    <w:rsid w:val="001F0F49"/>
    <w:rsid w:val="001F6C33"/>
    <w:rsid w:val="001F788C"/>
    <w:rsid w:val="00224462"/>
    <w:rsid w:val="0024513D"/>
    <w:rsid w:val="00256116"/>
    <w:rsid w:val="0025735E"/>
    <w:rsid w:val="00261BC0"/>
    <w:rsid w:val="00277F28"/>
    <w:rsid w:val="002912EE"/>
    <w:rsid w:val="002A0611"/>
    <w:rsid w:val="002A2B57"/>
    <w:rsid w:val="002D12BA"/>
    <w:rsid w:val="002F1C22"/>
    <w:rsid w:val="00346D5A"/>
    <w:rsid w:val="00375DAA"/>
    <w:rsid w:val="003769CE"/>
    <w:rsid w:val="003A6FFD"/>
    <w:rsid w:val="003B0D15"/>
    <w:rsid w:val="003F2F29"/>
    <w:rsid w:val="003F6F14"/>
    <w:rsid w:val="00431B21"/>
    <w:rsid w:val="0049281C"/>
    <w:rsid w:val="00494932"/>
    <w:rsid w:val="00496EE7"/>
    <w:rsid w:val="004B71B8"/>
    <w:rsid w:val="004C0562"/>
    <w:rsid w:val="004C5FC3"/>
    <w:rsid w:val="004F0CC4"/>
    <w:rsid w:val="004F2A14"/>
    <w:rsid w:val="00517FD6"/>
    <w:rsid w:val="005343A0"/>
    <w:rsid w:val="00565182"/>
    <w:rsid w:val="00573CAF"/>
    <w:rsid w:val="00591CCC"/>
    <w:rsid w:val="005F316E"/>
    <w:rsid w:val="00601EEE"/>
    <w:rsid w:val="006109D2"/>
    <w:rsid w:val="006242F1"/>
    <w:rsid w:val="00644A69"/>
    <w:rsid w:val="00660501"/>
    <w:rsid w:val="006628DF"/>
    <w:rsid w:val="006A6E6C"/>
    <w:rsid w:val="006C23DE"/>
    <w:rsid w:val="006E2BC7"/>
    <w:rsid w:val="0071632C"/>
    <w:rsid w:val="00731667"/>
    <w:rsid w:val="00766383"/>
    <w:rsid w:val="00777986"/>
    <w:rsid w:val="007955F5"/>
    <w:rsid w:val="007B2FE7"/>
    <w:rsid w:val="007B4B9C"/>
    <w:rsid w:val="007C0F41"/>
    <w:rsid w:val="007D21D0"/>
    <w:rsid w:val="0082355D"/>
    <w:rsid w:val="008721CC"/>
    <w:rsid w:val="0087481A"/>
    <w:rsid w:val="008F5A96"/>
    <w:rsid w:val="008F6A3D"/>
    <w:rsid w:val="00904DF9"/>
    <w:rsid w:val="009053E2"/>
    <w:rsid w:val="0093390F"/>
    <w:rsid w:val="00936515"/>
    <w:rsid w:val="00965A4C"/>
    <w:rsid w:val="009A1D3E"/>
    <w:rsid w:val="009E4792"/>
    <w:rsid w:val="009E61F3"/>
    <w:rsid w:val="00A3088A"/>
    <w:rsid w:val="00A348FB"/>
    <w:rsid w:val="00A8023E"/>
    <w:rsid w:val="00A96C04"/>
    <w:rsid w:val="00A97068"/>
    <w:rsid w:val="00AA52E9"/>
    <w:rsid w:val="00AA7950"/>
    <w:rsid w:val="00AB3462"/>
    <w:rsid w:val="00AC0E99"/>
    <w:rsid w:val="00AD39AC"/>
    <w:rsid w:val="00AD5C17"/>
    <w:rsid w:val="00AE1DD2"/>
    <w:rsid w:val="00AF5F8D"/>
    <w:rsid w:val="00B13959"/>
    <w:rsid w:val="00B50D92"/>
    <w:rsid w:val="00B73D4B"/>
    <w:rsid w:val="00B91374"/>
    <w:rsid w:val="00BE2440"/>
    <w:rsid w:val="00BE58E3"/>
    <w:rsid w:val="00C031C7"/>
    <w:rsid w:val="00C07AEA"/>
    <w:rsid w:val="00C2371D"/>
    <w:rsid w:val="00C46532"/>
    <w:rsid w:val="00C60A7D"/>
    <w:rsid w:val="00C657A1"/>
    <w:rsid w:val="00C73F3F"/>
    <w:rsid w:val="00C828A1"/>
    <w:rsid w:val="00C874DC"/>
    <w:rsid w:val="00C91FC1"/>
    <w:rsid w:val="00C92411"/>
    <w:rsid w:val="00CC0F70"/>
    <w:rsid w:val="00CD1E86"/>
    <w:rsid w:val="00D075DA"/>
    <w:rsid w:val="00D84122"/>
    <w:rsid w:val="00D9435E"/>
    <w:rsid w:val="00DA1CC2"/>
    <w:rsid w:val="00DC29D1"/>
    <w:rsid w:val="00DF1327"/>
    <w:rsid w:val="00E15AF4"/>
    <w:rsid w:val="00E2449D"/>
    <w:rsid w:val="00EF583A"/>
    <w:rsid w:val="00F12727"/>
    <w:rsid w:val="00F12ABB"/>
    <w:rsid w:val="00F1360A"/>
    <w:rsid w:val="00F21ECF"/>
    <w:rsid w:val="00F339C9"/>
    <w:rsid w:val="00F44B63"/>
    <w:rsid w:val="00F50673"/>
    <w:rsid w:val="00F55B65"/>
    <w:rsid w:val="00F631BB"/>
    <w:rsid w:val="00F67700"/>
    <w:rsid w:val="00F7455B"/>
    <w:rsid w:val="00F81509"/>
    <w:rsid w:val="00F9717D"/>
    <w:rsid w:val="00FA1716"/>
    <w:rsid w:val="00FC4796"/>
    <w:rsid w:val="00FD0B05"/>
    <w:rsid w:val="00FE249C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0A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9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1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23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DF9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9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16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23D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DF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ERAMET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Millot</dc:creator>
  <cp:lastModifiedBy>JeanJacques Bourdeau</cp:lastModifiedBy>
  <cp:revision>4</cp:revision>
  <cp:lastPrinted>2015-10-30T16:16:00Z</cp:lastPrinted>
  <dcterms:created xsi:type="dcterms:W3CDTF">2015-11-02T07:18:00Z</dcterms:created>
  <dcterms:modified xsi:type="dcterms:W3CDTF">2015-11-02T07:22:00Z</dcterms:modified>
</cp:coreProperties>
</file>