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4E7" w:rsidRDefault="006244E7" w:rsidP="006244E7">
      <w:pPr>
        <w:jc w:val="center"/>
        <w:rPr>
          <w:rFonts w:ascii="Verdana" w:hAnsi="Verdana"/>
          <w:b/>
          <w:u w:val="single"/>
        </w:rPr>
      </w:pPr>
    </w:p>
    <w:p w:rsidR="008C2B54" w:rsidRPr="006244E7" w:rsidRDefault="006244E7" w:rsidP="006244E7">
      <w:pPr>
        <w:jc w:val="center"/>
        <w:rPr>
          <w:rFonts w:ascii="Verdana" w:hAnsi="Verdana"/>
          <w:b/>
          <w:u w:val="single"/>
        </w:rPr>
      </w:pPr>
      <w:r w:rsidRPr="006244E7">
        <w:rPr>
          <w:rFonts w:ascii="Verdana" w:hAnsi="Verdana"/>
          <w:b/>
          <w:u w:val="single"/>
        </w:rPr>
        <w:t>SOMMAIRE</w:t>
      </w:r>
    </w:p>
    <w:tbl>
      <w:tblPr>
        <w:tblW w:w="5834" w:type="pct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3"/>
        <w:gridCol w:w="1415"/>
        <w:gridCol w:w="2734"/>
        <w:gridCol w:w="2722"/>
        <w:gridCol w:w="2711"/>
      </w:tblGrid>
      <w:tr w:rsidR="006244E7" w:rsidRPr="005877CE" w:rsidTr="008C2B54"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4E7" w:rsidRDefault="006244E7" w:rsidP="008C2B54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6244E7" w:rsidRDefault="006244E7" w:rsidP="008C2B54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441ED8" w:rsidRDefault="006244E7">
            <w:pPr>
              <w:pStyle w:val="TM1"/>
              <w:tabs>
                <w:tab w:val="left" w:pos="480"/>
                <w:tab w:val="right" w:leader="dot" w:pos="9060"/>
              </w:tabs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u w:val="single"/>
              </w:rPr>
              <w:fldChar w:fldCharType="begin"/>
            </w:r>
            <w:r>
              <w:rPr>
                <w:rFonts w:ascii="Verdana" w:hAnsi="Verdana"/>
                <w:b w:val="0"/>
                <w:bCs w:val="0"/>
                <w:u w:val="single"/>
              </w:rPr>
              <w:instrText xml:space="preserve"> TOC \o "1-2" \h \z \u </w:instrText>
            </w:r>
            <w:r>
              <w:rPr>
                <w:rFonts w:ascii="Verdana" w:hAnsi="Verdana"/>
                <w:b w:val="0"/>
                <w:bCs w:val="0"/>
                <w:u w:val="single"/>
              </w:rPr>
              <w:fldChar w:fldCharType="separate"/>
            </w:r>
            <w:hyperlink w:anchor="_Toc436236673" w:history="1">
              <w:r w:rsidR="00441ED8" w:rsidRPr="00A77CDE">
                <w:rPr>
                  <w:rStyle w:val="Lienhypertexte"/>
                  <w:rFonts w:ascii="Verdana" w:hAnsi="Verdana"/>
                  <w:noProof/>
                </w:rPr>
                <w:t>1.</w:t>
              </w:r>
              <w:r w:rsidR="00441ED8">
                <w:rPr>
                  <w:rFonts w:asciiTheme="minorHAnsi" w:eastAsiaTheme="minorEastAsia" w:hAnsiTheme="minorHAnsi" w:cstheme="minorBidi"/>
                  <w:b w:val="0"/>
                  <w:bCs w:val="0"/>
                  <w:caps w:val="0"/>
                  <w:noProof/>
                  <w:sz w:val="22"/>
                  <w:szCs w:val="22"/>
                </w:rPr>
                <w:tab/>
              </w:r>
              <w:r w:rsidR="00441ED8" w:rsidRPr="00A77CDE">
                <w:rPr>
                  <w:rStyle w:val="Lienhypertexte"/>
                  <w:rFonts w:ascii="Verdana" w:hAnsi="Verdana"/>
                  <w:noProof/>
                </w:rPr>
                <w:t>DEFINITION DU BESOIN</w:t>
              </w:r>
              <w:r w:rsidR="00441ED8">
                <w:rPr>
                  <w:noProof/>
                  <w:webHidden/>
                </w:rPr>
                <w:tab/>
              </w:r>
              <w:r w:rsidR="00441ED8">
                <w:rPr>
                  <w:noProof/>
                  <w:webHidden/>
                </w:rPr>
                <w:fldChar w:fldCharType="begin"/>
              </w:r>
              <w:r w:rsidR="00441ED8">
                <w:rPr>
                  <w:noProof/>
                  <w:webHidden/>
                </w:rPr>
                <w:instrText xml:space="preserve"> PAGEREF _Toc436236673 \h </w:instrText>
              </w:r>
              <w:r w:rsidR="00441ED8">
                <w:rPr>
                  <w:noProof/>
                  <w:webHidden/>
                </w:rPr>
              </w:r>
              <w:r w:rsidR="00441ED8">
                <w:rPr>
                  <w:noProof/>
                  <w:webHidden/>
                </w:rPr>
                <w:fldChar w:fldCharType="separate"/>
              </w:r>
              <w:r w:rsidR="0083790E">
                <w:rPr>
                  <w:noProof/>
                  <w:webHidden/>
                </w:rPr>
                <w:t>2</w:t>
              </w:r>
              <w:r w:rsidR="00441ED8">
                <w:rPr>
                  <w:noProof/>
                  <w:webHidden/>
                </w:rPr>
                <w:fldChar w:fldCharType="end"/>
              </w:r>
            </w:hyperlink>
          </w:p>
          <w:p w:rsidR="00441ED8" w:rsidRDefault="0083790E">
            <w:pPr>
              <w:pStyle w:val="TM1"/>
              <w:tabs>
                <w:tab w:val="left" w:pos="480"/>
                <w:tab w:val="right" w:leader="dot" w:pos="9060"/>
              </w:tabs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</w:pPr>
            <w:hyperlink w:anchor="_Toc436236674" w:history="1">
              <w:r w:rsidR="00441ED8" w:rsidRPr="00A77CDE">
                <w:rPr>
                  <w:rStyle w:val="Lienhypertexte"/>
                  <w:rFonts w:ascii="Verdana" w:hAnsi="Verdana"/>
                  <w:noProof/>
                </w:rPr>
                <w:t>2.</w:t>
              </w:r>
              <w:r w:rsidR="00441ED8">
                <w:rPr>
                  <w:rFonts w:asciiTheme="minorHAnsi" w:eastAsiaTheme="minorEastAsia" w:hAnsiTheme="minorHAnsi" w:cstheme="minorBidi"/>
                  <w:b w:val="0"/>
                  <w:bCs w:val="0"/>
                  <w:caps w:val="0"/>
                  <w:noProof/>
                  <w:sz w:val="22"/>
                  <w:szCs w:val="22"/>
                </w:rPr>
                <w:tab/>
              </w:r>
              <w:r w:rsidR="00441ED8" w:rsidRPr="00A77CDE">
                <w:rPr>
                  <w:rStyle w:val="Lienhypertexte"/>
                  <w:rFonts w:ascii="Verdana" w:hAnsi="Verdana"/>
                  <w:noProof/>
                </w:rPr>
                <w:t>DEFINITIONS ET ABREVIATIONS</w:t>
              </w:r>
              <w:r w:rsidR="00441ED8">
                <w:rPr>
                  <w:noProof/>
                  <w:webHidden/>
                </w:rPr>
                <w:tab/>
              </w:r>
              <w:r w:rsidR="00441ED8">
                <w:rPr>
                  <w:noProof/>
                  <w:webHidden/>
                </w:rPr>
                <w:fldChar w:fldCharType="begin"/>
              </w:r>
              <w:r w:rsidR="00441ED8">
                <w:rPr>
                  <w:noProof/>
                  <w:webHidden/>
                </w:rPr>
                <w:instrText xml:space="preserve"> PAGEREF _Toc436236674 \h </w:instrText>
              </w:r>
              <w:r w:rsidR="00441ED8">
                <w:rPr>
                  <w:noProof/>
                  <w:webHidden/>
                </w:rPr>
              </w:r>
              <w:r w:rsidR="00441ED8"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2</w:t>
              </w:r>
              <w:r w:rsidR="00441ED8">
                <w:rPr>
                  <w:noProof/>
                  <w:webHidden/>
                </w:rPr>
                <w:fldChar w:fldCharType="end"/>
              </w:r>
            </w:hyperlink>
          </w:p>
          <w:p w:rsidR="00441ED8" w:rsidRDefault="0083790E">
            <w:pPr>
              <w:pStyle w:val="TM1"/>
              <w:tabs>
                <w:tab w:val="left" w:pos="480"/>
                <w:tab w:val="right" w:leader="dot" w:pos="9060"/>
              </w:tabs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</w:pPr>
            <w:hyperlink w:anchor="_Toc436236675" w:history="1">
              <w:r w:rsidR="00441ED8" w:rsidRPr="00A77CDE">
                <w:rPr>
                  <w:rStyle w:val="Lienhypertexte"/>
                  <w:rFonts w:ascii="Verdana" w:hAnsi="Verdana"/>
                  <w:noProof/>
                </w:rPr>
                <w:t>3.</w:t>
              </w:r>
              <w:r w:rsidR="00441ED8">
                <w:rPr>
                  <w:rFonts w:asciiTheme="minorHAnsi" w:eastAsiaTheme="minorEastAsia" w:hAnsiTheme="minorHAnsi" w:cstheme="minorBidi"/>
                  <w:b w:val="0"/>
                  <w:bCs w:val="0"/>
                  <w:caps w:val="0"/>
                  <w:noProof/>
                  <w:sz w:val="22"/>
                  <w:szCs w:val="22"/>
                </w:rPr>
                <w:tab/>
              </w:r>
              <w:r w:rsidR="00441ED8" w:rsidRPr="00A77CDE">
                <w:rPr>
                  <w:rStyle w:val="Lienhypertexte"/>
                  <w:rFonts w:ascii="Verdana" w:hAnsi="Verdana"/>
                  <w:noProof/>
                </w:rPr>
                <w:t>EXIGENCES RELATIVES AU PROCESS</w:t>
              </w:r>
              <w:r w:rsidR="00441ED8">
                <w:rPr>
                  <w:noProof/>
                  <w:webHidden/>
                </w:rPr>
                <w:tab/>
              </w:r>
              <w:r w:rsidR="00441ED8">
                <w:rPr>
                  <w:noProof/>
                  <w:webHidden/>
                </w:rPr>
                <w:fldChar w:fldCharType="begin"/>
              </w:r>
              <w:r w:rsidR="00441ED8">
                <w:rPr>
                  <w:noProof/>
                  <w:webHidden/>
                </w:rPr>
                <w:instrText xml:space="preserve"> PAGEREF _Toc436236675 \h </w:instrText>
              </w:r>
              <w:r w:rsidR="00441ED8">
                <w:rPr>
                  <w:noProof/>
                  <w:webHidden/>
                </w:rPr>
              </w:r>
              <w:r w:rsidR="00441ED8"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2</w:t>
              </w:r>
              <w:r w:rsidR="00441ED8">
                <w:rPr>
                  <w:noProof/>
                  <w:webHidden/>
                </w:rPr>
                <w:fldChar w:fldCharType="end"/>
              </w:r>
            </w:hyperlink>
          </w:p>
          <w:p w:rsidR="00441ED8" w:rsidRDefault="0083790E">
            <w:pPr>
              <w:pStyle w:val="TM1"/>
              <w:tabs>
                <w:tab w:val="left" w:pos="480"/>
                <w:tab w:val="right" w:leader="dot" w:pos="9060"/>
              </w:tabs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</w:pPr>
            <w:hyperlink w:anchor="_Toc436236676" w:history="1">
              <w:r w:rsidR="00441ED8" w:rsidRPr="00A77CDE">
                <w:rPr>
                  <w:rStyle w:val="Lienhypertexte"/>
                  <w:rFonts w:ascii="Verdana" w:hAnsi="Verdana"/>
                  <w:noProof/>
                </w:rPr>
                <w:t>4.</w:t>
              </w:r>
              <w:r w:rsidR="00441ED8">
                <w:rPr>
                  <w:rFonts w:asciiTheme="minorHAnsi" w:eastAsiaTheme="minorEastAsia" w:hAnsiTheme="minorHAnsi" w:cstheme="minorBidi"/>
                  <w:b w:val="0"/>
                  <w:bCs w:val="0"/>
                  <w:caps w:val="0"/>
                  <w:noProof/>
                  <w:sz w:val="22"/>
                  <w:szCs w:val="22"/>
                </w:rPr>
                <w:tab/>
              </w:r>
              <w:r w:rsidR="00441ED8" w:rsidRPr="00A77CDE">
                <w:rPr>
                  <w:rStyle w:val="Lienhypertexte"/>
                  <w:rFonts w:ascii="Verdana" w:hAnsi="Verdana"/>
                  <w:noProof/>
                </w:rPr>
                <w:t xml:space="preserve">ANOMALIE / NON </w:t>
              </w:r>
              <w:bookmarkStart w:id="0" w:name="_GoBack"/>
              <w:bookmarkEnd w:id="0"/>
              <w:r w:rsidR="00441ED8" w:rsidRPr="00A77CDE">
                <w:rPr>
                  <w:rStyle w:val="Lienhypertexte"/>
                  <w:rFonts w:ascii="Verdana" w:hAnsi="Verdana"/>
                  <w:noProof/>
                </w:rPr>
                <w:t>CONFORMITE</w:t>
              </w:r>
              <w:r w:rsidR="00441ED8">
                <w:rPr>
                  <w:noProof/>
                  <w:webHidden/>
                </w:rPr>
                <w:tab/>
              </w:r>
              <w:r w:rsidR="00441ED8">
                <w:rPr>
                  <w:noProof/>
                  <w:webHidden/>
                </w:rPr>
                <w:fldChar w:fldCharType="begin"/>
              </w:r>
              <w:r w:rsidR="00441ED8">
                <w:rPr>
                  <w:noProof/>
                  <w:webHidden/>
                </w:rPr>
                <w:instrText xml:space="preserve"> PAGEREF _Toc436236676 \h </w:instrText>
              </w:r>
              <w:r w:rsidR="00441ED8">
                <w:rPr>
                  <w:noProof/>
                  <w:webHidden/>
                </w:rPr>
              </w:r>
              <w:r w:rsidR="00441ED8"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7</w:t>
              </w:r>
              <w:r w:rsidR="00441ED8">
                <w:rPr>
                  <w:noProof/>
                  <w:webHidden/>
                </w:rPr>
                <w:fldChar w:fldCharType="end"/>
              </w:r>
            </w:hyperlink>
          </w:p>
          <w:p w:rsidR="00441ED8" w:rsidRDefault="0083790E">
            <w:pPr>
              <w:pStyle w:val="TM1"/>
              <w:tabs>
                <w:tab w:val="left" w:pos="480"/>
                <w:tab w:val="right" w:leader="dot" w:pos="9060"/>
              </w:tabs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</w:pPr>
            <w:hyperlink w:anchor="_Toc436236677" w:history="1">
              <w:r w:rsidR="00441ED8" w:rsidRPr="00A77CDE">
                <w:rPr>
                  <w:rStyle w:val="Lienhypertexte"/>
                  <w:rFonts w:ascii="Verdana" w:hAnsi="Verdana"/>
                  <w:noProof/>
                </w:rPr>
                <w:t>5.</w:t>
              </w:r>
              <w:r w:rsidR="00441ED8">
                <w:rPr>
                  <w:rFonts w:asciiTheme="minorHAnsi" w:eastAsiaTheme="minorEastAsia" w:hAnsiTheme="minorHAnsi" w:cstheme="minorBidi"/>
                  <w:b w:val="0"/>
                  <w:bCs w:val="0"/>
                  <w:caps w:val="0"/>
                  <w:noProof/>
                  <w:sz w:val="22"/>
                  <w:szCs w:val="22"/>
                </w:rPr>
                <w:tab/>
              </w:r>
              <w:r w:rsidR="00441ED8" w:rsidRPr="00A77CDE">
                <w:rPr>
                  <w:rStyle w:val="Lienhypertexte"/>
                  <w:rFonts w:ascii="Verdana" w:hAnsi="Verdana"/>
                  <w:noProof/>
                </w:rPr>
                <w:t>RISQUES IDENTIFIES ET PLAN D’ACTION</w:t>
              </w:r>
              <w:r w:rsidR="00441ED8">
                <w:rPr>
                  <w:noProof/>
                  <w:webHidden/>
                </w:rPr>
                <w:tab/>
              </w:r>
              <w:r w:rsidR="00441ED8">
                <w:rPr>
                  <w:noProof/>
                  <w:webHidden/>
                </w:rPr>
                <w:fldChar w:fldCharType="begin"/>
              </w:r>
              <w:r w:rsidR="00441ED8">
                <w:rPr>
                  <w:noProof/>
                  <w:webHidden/>
                </w:rPr>
                <w:instrText xml:space="preserve"> PAGEREF _Toc436236677 \h </w:instrText>
              </w:r>
              <w:r w:rsidR="00441ED8">
                <w:rPr>
                  <w:noProof/>
                  <w:webHidden/>
                </w:rPr>
              </w:r>
              <w:r w:rsidR="00441ED8"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7</w:t>
              </w:r>
              <w:r w:rsidR="00441ED8">
                <w:rPr>
                  <w:noProof/>
                  <w:webHidden/>
                </w:rPr>
                <w:fldChar w:fldCharType="end"/>
              </w:r>
            </w:hyperlink>
          </w:p>
          <w:p w:rsidR="00441ED8" w:rsidRDefault="0083790E">
            <w:pPr>
              <w:pStyle w:val="TM1"/>
              <w:tabs>
                <w:tab w:val="left" w:pos="480"/>
                <w:tab w:val="right" w:leader="dot" w:pos="9060"/>
              </w:tabs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</w:pPr>
            <w:hyperlink w:anchor="_Toc436236678" w:history="1">
              <w:r w:rsidR="00441ED8" w:rsidRPr="00A77CDE">
                <w:rPr>
                  <w:rStyle w:val="Lienhypertexte"/>
                  <w:rFonts w:ascii="Verdana" w:hAnsi="Verdana"/>
                  <w:noProof/>
                </w:rPr>
                <w:t>6.</w:t>
              </w:r>
              <w:r w:rsidR="00441ED8">
                <w:rPr>
                  <w:rFonts w:asciiTheme="minorHAnsi" w:eastAsiaTheme="minorEastAsia" w:hAnsiTheme="minorHAnsi" w:cstheme="minorBidi"/>
                  <w:b w:val="0"/>
                  <w:bCs w:val="0"/>
                  <w:caps w:val="0"/>
                  <w:noProof/>
                  <w:sz w:val="22"/>
                  <w:szCs w:val="22"/>
                </w:rPr>
                <w:tab/>
              </w:r>
              <w:r w:rsidR="00441ED8" w:rsidRPr="00A77CDE">
                <w:rPr>
                  <w:rStyle w:val="Lienhypertexte"/>
                  <w:rFonts w:ascii="Verdana" w:hAnsi="Verdana"/>
                  <w:noProof/>
                </w:rPr>
                <w:t>ARCHIVAGE</w:t>
              </w:r>
              <w:r w:rsidR="00441ED8">
                <w:rPr>
                  <w:noProof/>
                  <w:webHidden/>
                </w:rPr>
                <w:tab/>
              </w:r>
              <w:r w:rsidR="00441ED8">
                <w:rPr>
                  <w:noProof/>
                  <w:webHidden/>
                </w:rPr>
                <w:fldChar w:fldCharType="begin"/>
              </w:r>
              <w:r w:rsidR="00441ED8">
                <w:rPr>
                  <w:noProof/>
                  <w:webHidden/>
                </w:rPr>
                <w:instrText xml:space="preserve"> PAGEREF _Toc436236678 \h </w:instrText>
              </w:r>
              <w:r w:rsidR="00441ED8">
                <w:rPr>
                  <w:noProof/>
                  <w:webHidden/>
                </w:rPr>
              </w:r>
              <w:r w:rsidR="00441ED8"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7</w:t>
              </w:r>
              <w:r w:rsidR="00441ED8">
                <w:rPr>
                  <w:noProof/>
                  <w:webHidden/>
                </w:rPr>
                <w:fldChar w:fldCharType="end"/>
              </w:r>
            </w:hyperlink>
          </w:p>
          <w:p w:rsidR="00441ED8" w:rsidRDefault="0083790E">
            <w:pPr>
              <w:pStyle w:val="TM1"/>
              <w:tabs>
                <w:tab w:val="left" w:pos="480"/>
                <w:tab w:val="right" w:leader="dot" w:pos="9060"/>
              </w:tabs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</w:pPr>
            <w:hyperlink w:anchor="_Toc436236679" w:history="1">
              <w:r w:rsidR="00441ED8" w:rsidRPr="00A77CDE">
                <w:rPr>
                  <w:rStyle w:val="Lienhypertexte"/>
                  <w:rFonts w:ascii="Verdana" w:hAnsi="Verdana"/>
                  <w:noProof/>
                </w:rPr>
                <w:t>7.</w:t>
              </w:r>
              <w:r w:rsidR="00441ED8">
                <w:rPr>
                  <w:rFonts w:asciiTheme="minorHAnsi" w:eastAsiaTheme="minorEastAsia" w:hAnsiTheme="minorHAnsi" w:cstheme="minorBidi"/>
                  <w:b w:val="0"/>
                  <w:bCs w:val="0"/>
                  <w:caps w:val="0"/>
                  <w:noProof/>
                  <w:sz w:val="22"/>
                  <w:szCs w:val="22"/>
                </w:rPr>
                <w:tab/>
              </w:r>
              <w:r w:rsidR="00441ED8" w:rsidRPr="00A77CDE">
                <w:rPr>
                  <w:rStyle w:val="Lienhypertexte"/>
                  <w:rFonts w:ascii="Verdana" w:hAnsi="Verdana"/>
                  <w:noProof/>
                </w:rPr>
                <w:t>ELEMENTS A FOURNIR</w:t>
              </w:r>
              <w:r w:rsidR="00441ED8">
                <w:rPr>
                  <w:noProof/>
                  <w:webHidden/>
                </w:rPr>
                <w:tab/>
              </w:r>
              <w:r w:rsidR="00441ED8">
                <w:rPr>
                  <w:noProof/>
                  <w:webHidden/>
                </w:rPr>
                <w:fldChar w:fldCharType="begin"/>
              </w:r>
              <w:r w:rsidR="00441ED8">
                <w:rPr>
                  <w:noProof/>
                  <w:webHidden/>
                </w:rPr>
                <w:instrText xml:space="preserve"> PAGEREF _Toc436236679 \h </w:instrText>
              </w:r>
              <w:r w:rsidR="00441ED8">
                <w:rPr>
                  <w:noProof/>
                  <w:webHidden/>
                </w:rPr>
              </w:r>
              <w:r w:rsidR="00441ED8"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7</w:t>
              </w:r>
              <w:r w:rsidR="00441ED8">
                <w:rPr>
                  <w:noProof/>
                  <w:webHidden/>
                </w:rPr>
                <w:fldChar w:fldCharType="end"/>
              </w:r>
            </w:hyperlink>
          </w:p>
          <w:p w:rsidR="006244E7" w:rsidRDefault="006244E7" w:rsidP="008C2B54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fldChar w:fldCharType="end"/>
            </w:r>
          </w:p>
          <w:p w:rsidR="006244E7" w:rsidRDefault="006244E7" w:rsidP="008C2B54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6244E7" w:rsidRDefault="006244E7" w:rsidP="008C2B54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6244E7" w:rsidRDefault="006244E7" w:rsidP="008C2B54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6244E7" w:rsidRDefault="006244E7" w:rsidP="008C2B54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</w:tc>
      </w:tr>
      <w:tr w:rsidR="006244E7" w:rsidRPr="006244E7" w:rsidTr="008C2B54"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4E7" w:rsidRPr="005E16F6" w:rsidRDefault="006244E7" w:rsidP="006244E7">
            <w:pPr>
              <w:ind w:right="-648"/>
              <w:jc w:val="center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6244E7" w:rsidRPr="006244E7" w:rsidRDefault="006244E7" w:rsidP="006244E7">
            <w:pPr>
              <w:ind w:right="-648"/>
              <w:jc w:val="center"/>
              <w:rPr>
                <w:rFonts w:ascii="Verdana" w:hAnsi="Verdana"/>
                <w:b/>
                <w:bCs/>
                <w:szCs w:val="20"/>
                <w:u w:val="single"/>
              </w:rPr>
            </w:pPr>
            <w:r w:rsidRPr="006244E7">
              <w:rPr>
                <w:rFonts w:ascii="Verdana" w:hAnsi="Verdana"/>
                <w:b/>
                <w:bCs/>
                <w:szCs w:val="20"/>
                <w:u w:val="single"/>
              </w:rPr>
              <w:t>HISTORIQUE DES MISES A JOUR</w:t>
            </w:r>
          </w:p>
          <w:p w:rsidR="006244E7" w:rsidRPr="006244E7" w:rsidRDefault="006244E7" w:rsidP="008C2B54">
            <w:pPr>
              <w:ind w:right="-648"/>
              <w:jc w:val="both"/>
              <w:rPr>
                <w:rFonts w:ascii="Verdana" w:hAnsi="Verdana"/>
                <w:b/>
                <w:bCs/>
                <w:szCs w:val="20"/>
                <w:u w:val="single"/>
              </w:rPr>
            </w:pPr>
          </w:p>
        </w:tc>
      </w:tr>
      <w:tr w:rsidR="008C2B54" w:rsidRPr="005877CE" w:rsidTr="008C2B54">
        <w:trPr>
          <w:trHeight w:val="275"/>
        </w:trPr>
        <w:tc>
          <w:tcPr>
            <w:tcW w:w="578" w:type="pct"/>
            <w:shd w:val="clear" w:color="auto" w:fill="auto"/>
          </w:tcPr>
          <w:p w:rsidR="008C2B54" w:rsidRPr="005877CE" w:rsidRDefault="008C2B54" w:rsidP="008661E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877CE">
              <w:rPr>
                <w:rFonts w:ascii="Verdana" w:hAnsi="Verdana"/>
                <w:b/>
                <w:bCs/>
                <w:sz w:val="20"/>
                <w:szCs w:val="20"/>
              </w:rPr>
              <w:t>VERSION</w:t>
            </w:r>
          </w:p>
        </w:tc>
        <w:tc>
          <w:tcPr>
            <w:tcW w:w="653" w:type="pct"/>
            <w:shd w:val="clear" w:color="auto" w:fill="auto"/>
          </w:tcPr>
          <w:p w:rsidR="008C2B54" w:rsidRPr="005877CE" w:rsidRDefault="008C2B54" w:rsidP="008661E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877CE">
              <w:rPr>
                <w:rFonts w:ascii="Verdana" w:hAnsi="Verdana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769" w:type="pct"/>
            <w:gridSpan w:val="3"/>
            <w:shd w:val="clear" w:color="auto" w:fill="auto"/>
          </w:tcPr>
          <w:p w:rsidR="008C2B54" w:rsidRPr="005877CE" w:rsidRDefault="008C2B54" w:rsidP="008C2B5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877CE">
              <w:rPr>
                <w:rFonts w:ascii="Verdana" w:hAnsi="Verdana"/>
                <w:b/>
                <w:bCs/>
                <w:sz w:val="20"/>
                <w:szCs w:val="20"/>
              </w:rPr>
              <w:t>OBJET</w:t>
            </w:r>
          </w:p>
        </w:tc>
      </w:tr>
      <w:tr w:rsidR="008C2B54" w:rsidRPr="005877CE" w:rsidTr="008C2B54">
        <w:trPr>
          <w:trHeight w:val="275"/>
        </w:trPr>
        <w:tc>
          <w:tcPr>
            <w:tcW w:w="578" w:type="pct"/>
            <w:shd w:val="clear" w:color="auto" w:fill="auto"/>
            <w:vAlign w:val="center"/>
          </w:tcPr>
          <w:p w:rsidR="008C2B54" w:rsidRPr="005877CE" w:rsidRDefault="008C2B54" w:rsidP="008C2B5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8C2B54" w:rsidRPr="005877CE" w:rsidRDefault="00D54DBE" w:rsidP="001A10D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1A10D1">
              <w:rPr>
                <w:rFonts w:ascii="Verdana" w:hAnsi="Verdana"/>
                <w:sz w:val="20"/>
                <w:szCs w:val="20"/>
              </w:rPr>
              <w:t>3/11</w:t>
            </w:r>
            <w:r w:rsidR="008C2B54">
              <w:rPr>
                <w:rFonts w:ascii="Verdana" w:hAnsi="Verdana"/>
                <w:sz w:val="20"/>
                <w:szCs w:val="20"/>
              </w:rPr>
              <w:t>/2015</w:t>
            </w:r>
          </w:p>
        </w:tc>
        <w:tc>
          <w:tcPr>
            <w:tcW w:w="3769" w:type="pct"/>
            <w:gridSpan w:val="3"/>
            <w:shd w:val="clear" w:color="auto" w:fill="auto"/>
            <w:vAlign w:val="center"/>
          </w:tcPr>
          <w:p w:rsidR="008C2B54" w:rsidRPr="005877CE" w:rsidRDefault="008C2B54" w:rsidP="008C2B5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Création</w:t>
            </w:r>
          </w:p>
        </w:tc>
      </w:tr>
      <w:tr w:rsidR="008C2B54" w:rsidRPr="005877CE" w:rsidTr="008C2B54">
        <w:trPr>
          <w:trHeight w:val="275"/>
        </w:trPr>
        <w:tc>
          <w:tcPr>
            <w:tcW w:w="578" w:type="pct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69" w:type="pct"/>
            <w:gridSpan w:val="3"/>
            <w:shd w:val="clear" w:color="auto" w:fill="auto"/>
          </w:tcPr>
          <w:p w:rsidR="008C2B54" w:rsidRPr="005877CE" w:rsidRDefault="008C2B54" w:rsidP="008661E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C2B54" w:rsidRPr="005877CE" w:rsidTr="008C2B54">
        <w:trPr>
          <w:trHeight w:val="275"/>
        </w:trPr>
        <w:tc>
          <w:tcPr>
            <w:tcW w:w="578" w:type="pct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69" w:type="pct"/>
            <w:gridSpan w:val="3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C2B54" w:rsidRPr="005877CE" w:rsidTr="008C2B54">
        <w:trPr>
          <w:trHeight w:val="275"/>
        </w:trPr>
        <w:tc>
          <w:tcPr>
            <w:tcW w:w="578" w:type="pct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69" w:type="pct"/>
            <w:gridSpan w:val="3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C2B54" w:rsidRPr="005877CE" w:rsidTr="008C2B54">
        <w:trPr>
          <w:trHeight w:val="275"/>
        </w:trPr>
        <w:tc>
          <w:tcPr>
            <w:tcW w:w="578" w:type="pct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69" w:type="pct"/>
            <w:gridSpan w:val="3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C2B54" w:rsidRPr="005877CE" w:rsidTr="008661E6">
        <w:trPr>
          <w:trHeight w:val="546"/>
        </w:trPr>
        <w:tc>
          <w:tcPr>
            <w:tcW w:w="5000" w:type="pct"/>
            <w:gridSpan w:val="5"/>
            <w:shd w:val="clear" w:color="auto" w:fill="auto"/>
          </w:tcPr>
          <w:p w:rsidR="008C2B54" w:rsidRDefault="008C2B54" w:rsidP="008661E6">
            <w:pPr>
              <w:ind w:right="-648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8C2B54" w:rsidRDefault="008C2B54" w:rsidP="008661E6">
            <w:pPr>
              <w:ind w:right="-648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8C2B54" w:rsidRDefault="008C2B54" w:rsidP="008661E6">
            <w:pPr>
              <w:ind w:right="-648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5E16F6" w:rsidRDefault="005E16F6" w:rsidP="008661E6">
            <w:pPr>
              <w:ind w:right="-648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8C2B54" w:rsidRPr="005877CE" w:rsidRDefault="008C2B54" w:rsidP="008661E6">
            <w:pPr>
              <w:ind w:right="-648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386614" w:rsidRPr="005877CE" w:rsidTr="00D647DA"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:rsidR="00B77559" w:rsidRPr="005877CE" w:rsidRDefault="00B77559" w:rsidP="005877CE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386614" w:rsidRPr="006244E7" w:rsidRDefault="00386614" w:rsidP="006244E7">
            <w:pPr>
              <w:ind w:right="-648"/>
              <w:jc w:val="center"/>
              <w:rPr>
                <w:rFonts w:ascii="Verdana" w:hAnsi="Verdana"/>
                <w:b/>
                <w:bCs/>
                <w:szCs w:val="20"/>
                <w:u w:val="single"/>
              </w:rPr>
            </w:pPr>
            <w:r w:rsidRPr="006244E7">
              <w:rPr>
                <w:rFonts w:ascii="Verdana" w:hAnsi="Verdana"/>
                <w:b/>
                <w:bCs/>
                <w:szCs w:val="20"/>
                <w:u w:val="single"/>
              </w:rPr>
              <w:t>LISTE DE DIFFUSION</w:t>
            </w:r>
          </w:p>
          <w:p w:rsidR="00386614" w:rsidRDefault="00386614" w:rsidP="005877CE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8C2B54" w:rsidRDefault="008C2B54" w:rsidP="005877CE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5E16F6" w:rsidRDefault="005E16F6" w:rsidP="005877CE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95565A" w:rsidRDefault="0095565A" w:rsidP="005877CE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3F5052" w:rsidRPr="005877CE" w:rsidRDefault="003F5052" w:rsidP="00596BD5">
            <w:pPr>
              <w:ind w:left="252" w:right="-648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713BB" w:rsidRPr="005877CE" w:rsidTr="00D17567">
        <w:trPr>
          <w:trHeight w:val="770"/>
        </w:trPr>
        <w:tc>
          <w:tcPr>
            <w:tcW w:w="123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3BB" w:rsidRPr="005877CE" w:rsidRDefault="004713BB" w:rsidP="005877CE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713BB" w:rsidRPr="005877CE" w:rsidRDefault="004713BB" w:rsidP="005877CE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3BB" w:rsidRPr="005877CE" w:rsidRDefault="004713BB" w:rsidP="005877C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877CE">
              <w:rPr>
                <w:rFonts w:ascii="Verdana" w:hAnsi="Verdana"/>
                <w:b/>
                <w:bCs/>
                <w:sz w:val="20"/>
                <w:szCs w:val="20"/>
              </w:rPr>
              <w:t>REDACTEUR</w:t>
            </w:r>
          </w:p>
        </w:tc>
        <w:tc>
          <w:tcPr>
            <w:tcW w:w="12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3BB" w:rsidRPr="005877CE" w:rsidRDefault="004713BB" w:rsidP="005877C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877CE">
              <w:rPr>
                <w:rFonts w:ascii="Verdana" w:hAnsi="Verdana"/>
                <w:b/>
                <w:bCs/>
                <w:sz w:val="20"/>
                <w:szCs w:val="20"/>
              </w:rPr>
              <w:t>VERIFICATEUR</w:t>
            </w:r>
          </w:p>
        </w:tc>
        <w:tc>
          <w:tcPr>
            <w:tcW w:w="12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3BB" w:rsidRPr="005877CE" w:rsidRDefault="004713BB" w:rsidP="005877C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877CE">
              <w:rPr>
                <w:rFonts w:ascii="Verdana" w:hAnsi="Verdana"/>
                <w:b/>
                <w:bCs/>
                <w:sz w:val="20"/>
                <w:szCs w:val="20"/>
              </w:rPr>
              <w:t>APPROBATEUR</w:t>
            </w:r>
          </w:p>
        </w:tc>
      </w:tr>
      <w:tr w:rsidR="004713BB" w:rsidRPr="005877CE" w:rsidTr="00D17567">
        <w:trPr>
          <w:trHeight w:val="1423"/>
        </w:trPr>
        <w:tc>
          <w:tcPr>
            <w:tcW w:w="123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3BB" w:rsidRPr="005877CE" w:rsidRDefault="004713BB" w:rsidP="005877C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4713BB" w:rsidRPr="005877CE" w:rsidRDefault="004713BB" w:rsidP="005877C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877CE">
              <w:rPr>
                <w:rFonts w:ascii="Verdana" w:hAnsi="Verdana"/>
                <w:b/>
                <w:bCs/>
                <w:sz w:val="20"/>
                <w:szCs w:val="20"/>
              </w:rPr>
              <w:t>VISA</w:t>
            </w:r>
          </w:p>
          <w:p w:rsidR="004713BB" w:rsidRPr="005877CE" w:rsidRDefault="004713BB" w:rsidP="005877C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2" w:type="pct"/>
            <w:tcBorders>
              <w:bottom w:val="single" w:sz="4" w:space="0" w:color="auto"/>
            </w:tcBorders>
            <w:shd w:val="clear" w:color="auto" w:fill="auto"/>
          </w:tcPr>
          <w:p w:rsidR="004713BB" w:rsidRPr="005877CE" w:rsidRDefault="004713BB" w:rsidP="005877CE">
            <w:pPr>
              <w:pStyle w:val="NormalWeb"/>
              <w:spacing w:before="120" w:beforeAutospacing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6" w:type="pct"/>
            <w:tcBorders>
              <w:bottom w:val="single" w:sz="4" w:space="0" w:color="auto"/>
            </w:tcBorders>
            <w:shd w:val="clear" w:color="auto" w:fill="auto"/>
          </w:tcPr>
          <w:p w:rsidR="0050220B" w:rsidRPr="005877CE" w:rsidRDefault="0050220B" w:rsidP="005877CE">
            <w:pPr>
              <w:pStyle w:val="NormalWeb"/>
              <w:spacing w:before="120" w:beforeAutospacing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1" w:type="pct"/>
            <w:tcBorders>
              <w:bottom w:val="single" w:sz="4" w:space="0" w:color="auto"/>
            </w:tcBorders>
            <w:shd w:val="clear" w:color="auto" w:fill="auto"/>
          </w:tcPr>
          <w:p w:rsidR="004713BB" w:rsidRPr="005877CE" w:rsidRDefault="004713BB" w:rsidP="005877CE">
            <w:pPr>
              <w:pStyle w:val="NormalWeb"/>
              <w:spacing w:before="120" w:beforeAutospacing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B4B6C" w:rsidRPr="00AC5ABF" w:rsidRDefault="004B0BE7" w:rsidP="00DF3521">
      <w:pPr>
        <w:pStyle w:val="Titre1"/>
        <w:numPr>
          <w:ilvl w:val="0"/>
          <w:numId w:val="14"/>
        </w:numPr>
        <w:rPr>
          <w:rFonts w:ascii="Verdana" w:hAnsi="Verdana"/>
          <w:sz w:val="28"/>
          <w:szCs w:val="28"/>
          <w:u w:val="single"/>
        </w:rPr>
      </w:pPr>
      <w:r>
        <w:rPr>
          <w:sz w:val="20"/>
          <w:szCs w:val="20"/>
        </w:rPr>
        <w:br w:type="page"/>
      </w:r>
      <w:bookmarkStart w:id="1" w:name="_Toc436236673"/>
      <w:r w:rsidR="001F7887">
        <w:rPr>
          <w:rFonts w:ascii="Verdana" w:hAnsi="Verdana"/>
          <w:sz w:val="28"/>
          <w:szCs w:val="28"/>
          <w:u w:val="single"/>
        </w:rPr>
        <w:lastRenderedPageBreak/>
        <w:t>DEFINITION DU BESOIN</w:t>
      </w:r>
      <w:bookmarkEnd w:id="1"/>
    </w:p>
    <w:p w:rsidR="00E12500" w:rsidRDefault="00E12500" w:rsidP="00E12500">
      <w:pPr>
        <w:jc w:val="both"/>
        <w:rPr>
          <w:rFonts w:ascii="Verdana" w:hAnsi="Verdana"/>
          <w:sz w:val="20"/>
        </w:rPr>
      </w:pPr>
    </w:p>
    <w:p w:rsidR="009B4B6C" w:rsidRDefault="00D54DBE" w:rsidP="00E12500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Prestation de traitement </w:t>
      </w:r>
      <w:r w:rsidR="00DF3521">
        <w:rPr>
          <w:rFonts w:ascii="Verdana" w:hAnsi="Verdana"/>
          <w:sz w:val="20"/>
        </w:rPr>
        <w:t xml:space="preserve">de </w:t>
      </w:r>
      <w:r w:rsidR="001A10D1">
        <w:rPr>
          <w:rFonts w:ascii="Verdana" w:hAnsi="Verdana"/>
          <w:sz w:val="20"/>
        </w:rPr>
        <w:t>chutes massives</w:t>
      </w:r>
      <w:r>
        <w:rPr>
          <w:rFonts w:ascii="Verdana" w:hAnsi="Verdana"/>
          <w:sz w:val="20"/>
        </w:rPr>
        <w:t xml:space="preserve"> destiné</w:t>
      </w:r>
      <w:r w:rsidR="001A10D1">
        <w:rPr>
          <w:rFonts w:ascii="Verdana" w:hAnsi="Verdana"/>
          <w:sz w:val="20"/>
        </w:rPr>
        <w:t>e</w:t>
      </w:r>
      <w:r>
        <w:rPr>
          <w:rFonts w:ascii="Verdana" w:hAnsi="Verdana"/>
          <w:sz w:val="20"/>
        </w:rPr>
        <w:t>s à l’élaboration au PAMCHR</w:t>
      </w:r>
      <w:r w:rsidR="00DF3521">
        <w:rPr>
          <w:rFonts w:ascii="Verdana" w:hAnsi="Verdana"/>
          <w:sz w:val="20"/>
        </w:rPr>
        <w:t xml:space="preserve">. </w:t>
      </w:r>
    </w:p>
    <w:p w:rsidR="003427FC" w:rsidRPr="00DF3521" w:rsidRDefault="003427FC" w:rsidP="00E12500">
      <w:pPr>
        <w:jc w:val="both"/>
        <w:rPr>
          <w:rFonts w:ascii="Verdana" w:hAnsi="Verdana"/>
          <w:sz w:val="20"/>
        </w:rPr>
      </w:pPr>
    </w:p>
    <w:p w:rsidR="003427FC" w:rsidRDefault="003427FC" w:rsidP="00DF3521">
      <w:pPr>
        <w:pStyle w:val="Titre1"/>
        <w:numPr>
          <w:ilvl w:val="0"/>
          <w:numId w:val="14"/>
        </w:numPr>
        <w:rPr>
          <w:rFonts w:ascii="Verdana" w:hAnsi="Verdana"/>
          <w:sz w:val="28"/>
          <w:szCs w:val="28"/>
          <w:u w:val="single"/>
        </w:rPr>
      </w:pPr>
      <w:bookmarkStart w:id="2" w:name="_Toc436236674"/>
      <w:r>
        <w:rPr>
          <w:rFonts w:ascii="Verdana" w:hAnsi="Verdana"/>
          <w:sz w:val="28"/>
          <w:szCs w:val="28"/>
          <w:u w:val="single"/>
        </w:rPr>
        <w:t>DEFINITIONS ET ABREVIATIONS</w:t>
      </w:r>
      <w:bookmarkEnd w:id="2"/>
    </w:p>
    <w:p w:rsidR="00E12500" w:rsidRDefault="00E12500" w:rsidP="00E12500">
      <w:pPr>
        <w:jc w:val="both"/>
        <w:rPr>
          <w:rFonts w:ascii="Verdana" w:hAnsi="Verdana"/>
          <w:sz w:val="20"/>
        </w:rPr>
      </w:pPr>
    </w:p>
    <w:p w:rsidR="003427FC" w:rsidRDefault="003427FC" w:rsidP="00E12500">
      <w:pPr>
        <w:jc w:val="both"/>
        <w:rPr>
          <w:rFonts w:ascii="Verdana" w:hAnsi="Verdana"/>
          <w:sz w:val="20"/>
        </w:rPr>
      </w:pPr>
      <w:r w:rsidRPr="003427FC">
        <w:rPr>
          <w:rFonts w:ascii="Verdana" w:hAnsi="Verdana"/>
          <w:sz w:val="20"/>
        </w:rPr>
        <w:t xml:space="preserve">GENERATEURS DE </w:t>
      </w:r>
      <w:r w:rsidR="001A10D1">
        <w:rPr>
          <w:rFonts w:ascii="Verdana" w:hAnsi="Verdana"/>
          <w:sz w:val="20"/>
        </w:rPr>
        <w:t>CHUTES</w:t>
      </w:r>
      <w:r w:rsidRPr="003427FC">
        <w:rPr>
          <w:rFonts w:ascii="Verdana" w:hAnsi="Verdana"/>
          <w:sz w:val="20"/>
        </w:rPr>
        <w:t> : sociétés qui génèrent des c</w:t>
      </w:r>
      <w:r w:rsidR="001A10D1">
        <w:rPr>
          <w:rFonts w:ascii="Verdana" w:hAnsi="Verdana"/>
          <w:sz w:val="20"/>
        </w:rPr>
        <w:t>hutes massives</w:t>
      </w:r>
      <w:r w:rsidRPr="003427FC">
        <w:rPr>
          <w:rFonts w:ascii="Verdana" w:hAnsi="Verdana"/>
          <w:sz w:val="20"/>
        </w:rPr>
        <w:t xml:space="preserve"> au cours de son process de fabrication.</w:t>
      </w:r>
    </w:p>
    <w:p w:rsidR="00E12500" w:rsidRDefault="00E12500" w:rsidP="00E12500">
      <w:pPr>
        <w:jc w:val="both"/>
        <w:rPr>
          <w:rFonts w:ascii="Verdana" w:hAnsi="Verdana"/>
          <w:sz w:val="20"/>
        </w:rPr>
      </w:pPr>
    </w:p>
    <w:p w:rsidR="001161D4" w:rsidRPr="001161D4" w:rsidRDefault="001161D4" w:rsidP="00E12500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COLLECTEUR</w:t>
      </w:r>
      <w:r w:rsidR="00E1278D">
        <w:rPr>
          <w:rFonts w:ascii="Verdana" w:hAnsi="Verdana"/>
          <w:sz w:val="20"/>
        </w:rPr>
        <w:t>S</w:t>
      </w:r>
      <w:r>
        <w:rPr>
          <w:rFonts w:ascii="Verdana" w:hAnsi="Verdana"/>
          <w:sz w:val="20"/>
        </w:rPr>
        <w:t xml:space="preserve"> DE C</w:t>
      </w:r>
      <w:r w:rsidR="001A10D1">
        <w:rPr>
          <w:rFonts w:ascii="Verdana" w:hAnsi="Verdana"/>
          <w:sz w:val="20"/>
        </w:rPr>
        <w:t>HUTES</w:t>
      </w:r>
      <w:r>
        <w:rPr>
          <w:rFonts w:ascii="Verdana" w:hAnsi="Verdana"/>
          <w:sz w:val="20"/>
        </w:rPr>
        <w:t xml:space="preserve"> : </w:t>
      </w:r>
      <w:r w:rsidRPr="001161D4">
        <w:rPr>
          <w:rFonts w:ascii="Verdana" w:hAnsi="Verdana"/>
          <w:sz w:val="20"/>
        </w:rPr>
        <w:t xml:space="preserve">sociétés dont le métier est de collecter les </w:t>
      </w:r>
      <w:r>
        <w:rPr>
          <w:rFonts w:ascii="Verdana" w:hAnsi="Verdana"/>
          <w:sz w:val="20"/>
        </w:rPr>
        <w:t>c</w:t>
      </w:r>
      <w:r w:rsidR="001A10D1">
        <w:rPr>
          <w:rFonts w:ascii="Verdana" w:hAnsi="Verdana"/>
          <w:sz w:val="20"/>
        </w:rPr>
        <w:t>hutes massives</w:t>
      </w:r>
      <w:r w:rsidRPr="001161D4">
        <w:rPr>
          <w:rFonts w:ascii="Verdana" w:hAnsi="Verdana"/>
          <w:sz w:val="20"/>
        </w:rPr>
        <w:t xml:space="preserve"> destinées à la fusion.</w:t>
      </w:r>
    </w:p>
    <w:p w:rsidR="00E12500" w:rsidRDefault="00E12500" w:rsidP="00E12500">
      <w:pPr>
        <w:jc w:val="both"/>
        <w:rPr>
          <w:rFonts w:ascii="Verdana" w:hAnsi="Verdana"/>
          <w:sz w:val="20"/>
        </w:rPr>
      </w:pPr>
    </w:p>
    <w:p w:rsidR="00A06E0B" w:rsidRPr="00B22D68" w:rsidRDefault="00A06E0B" w:rsidP="00D54DBE">
      <w:pPr>
        <w:jc w:val="both"/>
        <w:rPr>
          <w:i/>
        </w:rPr>
      </w:pPr>
      <w:r>
        <w:rPr>
          <w:rFonts w:ascii="Verdana" w:hAnsi="Verdana"/>
          <w:sz w:val="20"/>
        </w:rPr>
        <w:t>PROCESSEURS DE C</w:t>
      </w:r>
      <w:r w:rsidR="001A10D1">
        <w:rPr>
          <w:rFonts w:ascii="Verdana" w:hAnsi="Verdana"/>
          <w:sz w:val="20"/>
        </w:rPr>
        <w:t>HUTES</w:t>
      </w:r>
      <w:r>
        <w:rPr>
          <w:rFonts w:ascii="Verdana" w:hAnsi="Verdana"/>
          <w:sz w:val="20"/>
        </w:rPr>
        <w:t xml:space="preserve"> : </w:t>
      </w:r>
      <w:r w:rsidRPr="001161D4">
        <w:rPr>
          <w:rFonts w:ascii="Verdana" w:hAnsi="Verdana"/>
          <w:sz w:val="20"/>
        </w:rPr>
        <w:t xml:space="preserve">sociétés </w:t>
      </w:r>
      <w:r>
        <w:rPr>
          <w:rFonts w:ascii="Verdana" w:hAnsi="Verdana"/>
          <w:sz w:val="20"/>
        </w:rPr>
        <w:t xml:space="preserve">en charge de préparer les </w:t>
      </w:r>
      <w:r w:rsidR="001A10D1">
        <w:rPr>
          <w:rFonts w:ascii="Verdana" w:hAnsi="Verdana"/>
          <w:sz w:val="20"/>
        </w:rPr>
        <w:t>chutes massives</w:t>
      </w:r>
      <w:r>
        <w:rPr>
          <w:rFonts w:ascii="Verdana" w:hAnsi="Verdana"/>
          <w:sz w:val="20"/>
        </w:rPr>
        <w:t xml:space="preserve"> en vue de leur fusion au PAMCHR.</w:t>
      </w:r>
    </w:p>
    <w:p w:rsidR="00A06E0B" w:rsidRPr="004108D9" w:rsidRDefault="00A06E0B" w:rsidP="00E12500">
      <w:pPr>
        <w:jc w:val="both"/>
        <w:rPr>
          <w:rFonts w:ascii="Verdana" w:hAnsi="Verdana"/>
          <w:sz w:val="20"/>
        </w:rPr>
      </w:pPr>
    </w:p>
    <w:p w:rsidR="003427FC" w:rsidRDefault="003427FC" w:rsidP="00E12500">
      <w:pPr>
        <w:jc w:val="both"/>
        <w:rPr>
          <w:rFonts w:ascii="Verdana" w:hAnsi="Verdana"/>
          <w:sz w:val="20"/>
          <w:lang w:val="en-US"/>
        </w:rPr>
      </w:pPr>
      <w:r w:rsidRPr="003427FC">
        <w:rPr>
          <w:rFonts w:ascii="Verdana" w:hAnsi="Verdana"/>
          <w:sz w:val="20"/>
          <w:lang w:val="en-US"/>
        </w:rPr>
        <w:t xml:space="preserve">PAMCHR: Plasma Arc Melting Cold Hearth </w:t>
      </w:r>
      <w:r>
        <w:rPr>
          <w:rFonts w:ascii="Verdana" w:hAnsi="Verdana"/>
          <w:sz w:val="20"/>
          <w:lang w:val="en-US"/>
        </w:rPr>
        <w:t>Refining</w:t>
      </w:r>
    </w:p>
    <w:p w:rsidR="00E27A2B" w:rsidRDefault="00E27A2B" w:rsidP="00E12500">
      <w:pPr>
        <w:jc w:val="both"/>
        <w:rPr>
          <w:rFonts w:ascii="Verdana" w:hAnsi="Verdana"/>
          <w:sz w:val="20"/>
          <w:lang w:val="en-US"/>
        </w:rPr>
      </w:pPr>
    </w:p>
    <w:p w:rsidR="00E27A2B" w:rsidRPr="00F37395" w:rsidRDefault="00E27A2B" w:rsidP="00E12500">
      <w:pPr>
        <w:jc w:val="both"/>
        <w:rPr>
          <w:rFonts w:ascii="Verdana" w:hAnsi="Verdana"/>
          <w:sz w:val="20"/>
        </w:rPr>
      </w:pPr>
      <w:r w:rsidRPr="00F37395">
        <w:rPr>
          <w:rFonts w:ascii="Verdana" w:hAnsi="Verdana"/>
          <w:sz w:val="20"/>
        </w:rPr>
        <w:t>AMDEC</w:t>
      </w:r>
      <w:r w:rsidR="00876B4C">
        <w:rPr>
          <w:rFonts w:ascii="Verdana" w:hAnsi="Verdana"/>
          <w:sz w:val="20"/>
        </w:rPr>
        <w:t> </w:t>
      </w:r>
      <w:r w:rsidR="00B854C6">
        <w:rPr>
          <w:rFonts w:ascii="Verdana" w:hAnsi="Verdana"/>
          <w:sz w:val="20"/>
        </w:rPr>
        <w:t>-</w:t>
      </w:r>
      <w:r w:rsidR="001A10D1">
        <w:rPr>
          <w:rFonts w:ascii="Verdana" w:hAnsi="Verdana"/>
          <w:sz w:val="20"/>
        </w:rPr>
        <w:t xml:space="preserve"> Analyse des Modes de Défaillance, de leurs Effets et de leur Criticité</w:t>
      </w:r>
      <w:r w:rsidR="00B854C6">
        <w:rPr>
          <w:rFonts w:ascii="Verdana" w:hAnsi="Verdana"/>
          <w:sz w:val="20"/>
        </w:rPr>
        <w:t> :</w:t>
      </w:r>
      <w:r w:rsidR="001A10D1">
        <w:rPr>
          <w:rFonts w:ascii="Verdana" w:hAnsi="Verdana"/>
          <w:sz w:val="20"/>
        </w:rPr>
        <w:t xml:space="preserve"> permet d’identifier et maitriser les dysfonctionnements pouvant apparaitre lors du procédé de fabrication.</w:t>
      </w:r>
    </w:p>
    <w:p w:rsidR="00E12500" w:rsidRPr="00F37395" w:rsidRDefault="00E12500" w:rsidP="00E12500">
      <w:pPr>
        <w:jc w:val="both"/>
        <w:rPr>
          <w:rFonts w:ascii="Verdana" w:hAnsi="Verdana"/>
          <w:sz w:val="20"/>
        </w:rPr>
      </w:pPr>
    </w:p>
    <w:p w:rsidR="001161D4" w:rsidRDefault="003427FC" w:rsidP="00E12500">
      <w:pPr>
        <w:jc w:val="both"/>
        <w:rPr>
          <w:rFonts w:ascii="Verdana" w:hAnsi="Verdana"/>
          <w:sz w:val="20"/>
        </w:rPr>
      </w:pPr>
      <w:r w:rsidRPr="003427FC">
        <w:rPr>
          <w:rFonts w:ascii="Verdana" w:hAnsi="Verdana"/>
          <w:sz w:val="20"/>
        </w:rPr>
        <w:t>LOT DE</w:t>
      </w:r>
      <w:r>
        <w:rPr>
          <w:rFonts w:ascii="Verdana" w:hAnsi="Verdana"/>
          <w:sz w:val="20"/>
        </w:rPr>
        <w:t xml:space="preserve"> </w:t>
      </w:r>
      <w:r w:rsidR="00B854C6">
        <w:rPr>
          <w:rFonts w:ascii="Verdana" w:hAnsi="Verdana"/>
          <w:sz w:val="20"/>
        </w:rPr>
        <w:t>CHUTES</w:t>
      </w:r>
      <w:r w:rsidR="000300B9">
        <w:rPr>
          <w:rFonts w:ascii="Verdana" w:hAnsi="Verdana"/>
          <w:sz w:val="20"/>
        </w:rPr>
        <w:t>:</w:t>
      </w:r>
      <w:r w:rsidR="001161D4">
        <w:rPr>
          <w:rFonts w:ascii="Verdana" w:hAnsi="Verdana"/>
          <w:sz w:val="20"/>
        </w:rPr>
        <w:t xml:space="preserve"> il est défini par :</w:t>
      </w:r>
    </w:p>
    <w:p w:rsidR="001161D4" w:rsidRDefault="001161D4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r w:rsidRPr="001161D4">
        <w:rPr>
          <w:rFonts w:ascii="Verdana" w:hAnsi="Verdana"/>
          <w:sz w:val="20"/>
        </w:rPr>
        <w:t xml:space="preserve">1 client, </w:t>
      </w:r>
    </w:p>
    <w:p w:rsidR="001161D4" w:rsidRDefault="001161D4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r w:rsidRPr="001161D4">
        <w:rPr>
          <w:rFonts w:ascii="Verdana" w:hAnsi="Verdana"/>
          <w:sz w:val="20"/>
        </w:rPr>
        <w:t xml:space="preserve">1 contrat, </w:t>
      </w:r>
    </w:p>
    <w:p w:rsidR="001161D4" w:rsidRDefault="001161D4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r w:rsidRPr="001161D4">
        <w:rPr>
          <w:rFonts w:ascii="Verdana" w:hAnsi="Verdana"/>
          <w:sz w:val="20"/>
        </w:rPr>
        <w:t xml:space="preserve">1 site de génération, </w:t>
      </w:r>
    </w:p>
    <w:p w:rsidR="00B854C6" w:rsidRDefault="00B854C6" w:rsidP="00B854C6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r w:rsidRPr="005B3142">
        <w:rPr>
          <w:rFonts w:ascii="Verdana" w:hAnsi="Verdana"/>
          <w:sz w:val="20"/>
        </w:rPr>
        <w:t>1 unité</w:t>
      </w:r>
      <w:r w:rsidRPr="00091585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de génération (scie, découpe torche…),</w:t>
      </w:r>
    </w:p>
    <w:p w:rsidR="003427FC" w:rsidRDefault="001161D4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r w:rsidRPr="001161D4">
        <w:rPr>
          <w:rFonts w:ascii="Verdana" w:hAnsi="Verdana"/>
          <w:sz w:val="20"/>
        </w:rPr>
        <w:t xml:space="preserve">1 générateur, </w:t>
      </w:r>
    </w:p>
    <w:p w:rsidR="001161D4" w:rsidRDefault="001161D4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 article chute</w:t>
      </w:r>
      <w:r w:rsidR="00E12500">
        <w:rPr>
          <w:rFonts w:ascii="Verdana" w:hAnsi="Verdana"/>
          <w:sz w:val="20"/>
        </w:rPr>
        <w:t>,</w:t>
      </w:r>
    </w:p>
    <w:p w:rsidR="0075238C" w:rsidRDefault="001161D4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1 date d’enlèvement réalisé par </w:t>
      </w:r>
      <w:r w:rsidR="00106009">
        <w:rPr>
          <w:rFonts w:ascii="Verdana" w:hAnsi="Verdana"/>
          <w:sz w:val="20"/>
        </w:rPr>
        <w:t>un transporteur</w:t>
      </w:r>
      <w:r>
        <w:rPr>
          <w:rFonts w:ascii="Verdana" w:hAnsi="Verdana"/>
          <w:sz w:val="20"/>
        </w:rPr>
        <w:t xml:space="preserve"> à un point de collecte</w:t>
      </w:r>
      <w:r w:rsidR="0075238C">
        <w:rPr>
          <w:rFonts w:ascii="Verdana" w:hAnsi="Verdana"/>
          <w:sz w:val="20"/>
        </w:rPr>
        <w:t>,</w:t>
      </w:r>
    </w:p>
    <w:p w:rsidR="00D31495" w:rsidRDefault="0075238C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 date de traitement</w:t>
      </w:r>
      <w:r w:rsidR="00876B4C">
        <w:rPr>
          <w:rFonts w:ascii="Verdana" w:hAnsi="Verdana"/>
          <w:sz w:val="20"/>
        </w:rPr>
        <w:t>,</w:t>
      </w:r>
    </w:p>
    <w:p w:rsidR="00D31495" w:rsidRDefault="00D31495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1 </w:t>
      </w:r>
      <w:r w:rsidR="00AF3FE7">
        <w:rPr>
          <w:rFonts w:ascii="Verdana" w:hAnsi="Verdana"/>
          <w:sz w:val="20"/>
        </w:rPr>
        <w:t>gamme</w:t>
      </w:r>
      <w:r>
        <w:rPr>
          <w:rFonts w:ascii="Verdana" w:hAnsi="Verdana"/>
          <w:sz w:val="20"/>
        </w:rPr>
        <w:t xml:space="preserve"> de traitement</w:t>
      </w:r>
      <w:r w:rsidR="00876B4C">
        <w:rPr>
          <w:rFonts w:ascii="Verdana" w:hAnsi="Verdana"/>
          <w:sz w:val="20"/>
        </w:rPr>
        <w:t>,</w:t>
      </w:r>
    </w:p>
    <w:p w:rsidR="001161D4" w:rsidRPr="001161D4" w:rsidRDefault="00D31495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 analyse chimique</w:t>
      </w:r>
      <w:r w:rsidR="001161D4">
        <w:rPr>
          <w:rFonts w:ascii="Verdana" w:hAnsi="Verdana"/>
          <w:sz w:val="20"/>
        </w:rPr>
        <w:t xml:space="preserve">. </w:t>
      </w:r>
    </w:p>
    <w:p w:rsidR="00E12500" w:rsidRDefault="0075238C" w:rsidP="00E12500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Un lot de </w:t>
      </w:r>
      <w:r w:rsidR="00B854C6">
        <w:rPr>
          <w:rFonts w:ascii="Verdana" w:hAnsi="Verdana"/>
          <w:sz w:val="20"/>
        </w:rPr>
        <w:t>chutes</w:t>
      </w:r>
      <w:r>
        <w:rPr>
          <w:rFonts w:ascii="Verdana" w:hAnsi="Verdana"/>
          <w:sz w:val="20"/>
        </w:rPr>
        <w:t xml:space="preserve"> à la réception chez le processeur peut être divisé en plusieurs lots </w:t>
      </w:r>
      <w:r w:rsidR="00B57EE5">
        <w:rPr>
          <w:rFonts w:ascii="Verdana" w:hAnsi="Verdana"/>
          <w:sz w:val="20"/>
        </w:rPr>
        <w:t>au cours du</w:t>
      </w:r>
      <w:r>
        <w:rPr>
          <w:rFonts w:ascii="Verdana" w:hAnsi="Verdana"/>
          <w:sz w:val="20"/>
        </w:rPr>
        <w:t xml:space="preserve"> traitement</w:t>
      </w:r>
      <w:r w:rsidR="00106009">
        <w:rPr>
          <w:rFonts w:ascii="Verdana" w:hAnsi="Verdana"/>
          <w:sz w:val="20"/>
        </w:rPr>
        <w:t xml:space="preserve">. </w:t>
      </w:r>
      <w:r w:rsidR="00D31495">
        <w:rPr>
          <w:rFonts w:ascii="Verdana" w:hAnsi="Verdana"/>
          <w:sz w:val="20"/>
        </w:rPr>
        <w:t>Dans certains cas</w:t>
      </w:r>
      <w:r w:rsidR="00B57EE5">
        <w:rPr>
          <w:rFonts w:ascii="Verdana" w:hAnsi="Verdana"/>
          <w:sz w:val="20"/>
        </w:rPr>
        <w:t xml:space="preserve"> définis par EcoTitanium</w:t>
      </w:r>
      <w:r w:rsidR="00D31495">
        <w:rPr>
          <w:rFonts w:ascii="Verdana" w:hAnsi="Verdana"/>
          <w:sz w:val="20"/>
        </w:rPr>
        <w:t xml:space="preserve">, plusieurs lots de </w:t>
      </w:r>
      <w:r w:rsidR="00343D54">
        <w:rPr>
          <w:rFonts w:ascii="Verdana" w:hAnsi="Verdana"/>
          <w:sz w:val="20"/>
        </w:rPr>
        <w:t>chutes</w:t>
      </w:r>
      <w:r w:rsidR="00D31495">
        <w:rPr>
          <w:rFonts w:ascii="Verdana" w:hAnsi="Verdana"/>
          <w:sz w:val="20"/>
        </w:rPr>
        <w:t xml:space="preserve"> collecté</w:t>
      </w:r>
      <w:r w:rsidR="00343D54">
        <w:rPr>
          <w:rFonts w:ascii="Verdana" w:hAnsi="Verdana"/>
          <w:sz w:val="20"/>
        </w:rPr>
        <w:t>e</w:t>
      </w:r>
      <w:r w:rsidR="00D31495">
        <w:rPr>
          <w:rFonts w:ascii="Verdana" w:hAnsi="Verdana"/>
          <w:sz w:val="20"/>
        </w:rPr>
        <w:t xml:space="preserve">s peuvent être mélangés au cours du processus de traitement. </w:t>
      </w:r>
    </w:p>
    <w:p w:rsidR="00FA63EC" w:rsidRDefault="00FA63EC" w:rsidP="00FA63EC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Un lot de c</w:t>
      </w:r>
      <w:r w:rsidR="00343D54">
        <w:rPr>
          <w:rFonts w:ascii="Verdana" w:hAnsi="Verdana"/>
          <w:sz w:val="20"/>
        </w:rPr>
        <w:t>hutes</w:t>
      </w:r>
      <w:r>
        <w:rPr>
          <w:rFonts w:ascii="Verdana" w:hAnsi="Verdana"/>
          <w:sz w:val="20"/>
        </w:rPr>
        <w:t xml:space="preserve"> peut correspondre à plusieurs contenants. </w:t>
      </w:r>
    </w:p>
    <w:p w:rsidR="00106009" w:rsidRDefault="00106009" w:rsidP="00E12500">
      <w:pPr>
        <w:jc w:val="both"/>
        <w:rPr>
          <w:rFonts w:ascii="Verdana" w:hAnsi="Verdana"/>
          <w:sz w:val="20"/>
        </w:rPr>
      </w:pPr>
    </w:p>
    <w:p w:rsidR="00F03DFD" w:rsidRDefault="003427FC" w:rsidP="00E12500">
      <w:pPr>
        <w:jc w:val="both"/>
        <w:rPr>
          <w:rFonts w:ascii="Verdana" w:hAnsi="Verdana"/>
          <w:sz w:val="20"/>
        </w:rPr>
      </w:pPr>
      <w:r w:rsidRPr="003427FC">
        <w:rPr>
          <w:rFonts w:ascii="Verdana" w:hAnsi="Verdana"/>
          <w:sz w:val="20"/>
        </w:rPr>
        <w:t>ALLIAGES DE TITANE</w:t>
      </w:r>
      <w:r w:rsidR="004A3D8F">
        <w:rPr>
          <w:rFonts w:ascii="Verdana" w:hAnsi="Verdana"/>
          <w:sz w:val="20"/>
        </w:rPr>
        <w:t xml:space="preserve"> </w:t>
      </w:r>
      <w:r w:rsidR="004A3D8F" w:rsidRPr="00876B4C">
        <w:rPr>
          <w:rFonts w:ascii="Verdana" w:hAnsi="Verdana"/>
          <w:sz w:val="20"/>
        </w:rPr>
        <w:t>(liste donnée à titre d’exemple, non exclusive)</w:t>
      </w:r>
      <w:r w:rsidRPr="003427FC">
        <w:rPr>
          <w:rFonts w:ascii="Verdana" w:hAnsi="Verdana"/>
          <w:sz w:val="20"/>
        </w:rPr>
        <w:t>:</w:t>
      </w:r>
      <w:r w:rsidR="00F03DFD">
        <w:rPr>
          <w:rFonts w:ascii="Verdana" w:hAnsi="Verdana"/>
          <w:sz w:val="20"/>
        </w:rPr>
        <w:t xml:space="preserve"> </w:t>
      </w:r>
      <w:r w:rsidR="002102E2">
        <w:rPr>
          <w:rFonts w:ascii="Verdana" w:hAnsi="Verdana"/>
          <w:sz w:val="20"/>
        </w:rPr>
        <w:t>TA6V (grade 5 standard et haut O), TA6V ELI, Ti 1023, Ti 5553.</w:t>
      </w:r>
    </w:p>
    <w:p w:rsidR="00E12500" w:rsidRDefault="00E12500" w:rsidP="00E12500">
      <w:pPr>
        <w:jc w:val="both"/>
        <w:rPr>
          <w:rFonts w:ascii="Verdana" w:hAnsi="Verdana"/>
          <w:sz w:val="20"/>
        </w:rPr>
      </w:pPr>
    </w:p>
    <w:p w:rsidR="00191280" w:rsidRDefault="000959B7" w:rsidP="00E12500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TITANE </w:t>
      </w:r>
      <w:r w:rsidR="00191280">
        <w:rPr>
          <w:rFonts w:ascii="Verdana" w:hAnsi="Verdana"/>
          <w:sz w:val="20"/>
        </w:rPr>
        <w:t>QUALITE PREMIUM :</w:t>
      </w:r>
      <w:r w:rsidR="009A59BD">
        <w:rPr>
          <w:rFonts w:ascii="Verdana" w:hAnsi="Verdana"/>
          <w:sz w:val="20"/>
        </w:rPr>
        <w:t xml:space="preserve"> Matière produite avec des exigences de procédés et de contrôle qualité spéciaux et utilisée principalement pour la fabrication de pièces tournantes critiques.</w:t>
      </w:r>
    </w:p>
    <w:p w:rsidR="00191280" w:rsidRPr="003427FC" w:rsidRDefault="00191280" w:rsidP="00E12500">
      <w:pPr>
        <w:jc w:val="both"/>
        <w:rPr>
          <w:rFonts w:ascii="Verdana" w:hAnsi="Verdana"/>
          <w:sz w:val="20"/>
        </w:rPr>
      </w:pPr>
    </w:p>
    <w:p w:rsidR="009B4B6C" w:rsidRPr="00AC5ABF" w:rsidRDefault="00C310F9" w:rsidP="00DF3521">
      <w:pPr>
        <w:pStyle w:val="Titre1"/>
        <w:numPr>
          <w:ilvl w:val="0"/>
          <w:numId w:val="14"/>
        </w:numPr>
        <w:rPr>
          <w:rFonts w:ascii="Verdana" w:hAnsi="Verdana"/>
          <w:sz w:val="28"/>
          <w:szCs w:val="28"/>
          <w:u w:val="single"/>
        </w:rPr>
      </w:pPr>
      <w:bookmarkStart w:id="3" w:name="_Toc436236675"/>
      <w:r>
        <w:rPr>
          <w:rFonts w:ascii="Verdana" w:hAnsi="Verdana"/>
          <w:sz w:val="28"/>
          <w:szCs w:val="28"/>
          <w:u w:val="single"/>
        </w:rPr>
        <w:t>EXIGENCES RELATIVES AU PROCESS</w:t>
      </w:r>
      <w:bookmarkEnd w:id="3"/>
    </w:p>
    <w:p w:rsidR="00332904" w:rsidRPr="00FE4D4F" w:rsidRDefault="00332904" w:rsidP="00FE4D4F">
      <w:pPr>
        <w:jc w:val="both"/>
        <w:rPr>
          <w:rFonts w:ascii="Verdana" w:hAnsi="Verdana"/>
          <w:sz w:val="20"/>
        </w:rPr>
      </w:pPr>
    </w:p>
    <w:p w:rsidR="00BC373A" w:rsidRDefault="00BC373A" w:rsidP="00FE4D4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Le processus de traitement des </w:t>
      </w:r>
      <w:r w:rsidR="002D1BFE">
        <w:rPr>
          <w:rFonts w:ascii="Verdana" w:hAnsi="Verdana"/>
          <w:sz w:val="20"/>
          <w:szCs w:val="20"/>
        </w:rPr>
        <w:t>chutes</w:t>
      </w:r>
      <w:r>
        <w:rPr>
          <w:rFonts w:ascii="Verdana" w:hAnsi="Verdana"/>
          <w:sz w:val="20"/>
          <w:szCs w:val="20"/>
        </w:rPr>
        <w:t xml:space="preserve"> mis en place par le </w:t>
      </w:r>
      <w:r w:rsidR="00F9062A">
        <w:rPr>
          <w:rFonts w:ascii="Verdana" w:hAnsi="Verdana"/>
          <w:sz w:val="20"/>
          <w:szCs w:val="20"/>
        </w:rPr>
        <w:t>processeur</w:t>
      </w:r>
      <w:r>
        <w:rPr>
          <w:rFonts w:ascii="Verdana" w:hAnsi="Verdana"/>
          <w:sz w:val="20"/>
          <w:szCs w:val="20"/>
        </w:rPr>
        <w:t xml:space="preserve"> doit être figé et qualifié par EcoTitanium suivant </w:t>
      </w:r>
      <w:r w:rsidR="0011370A">
        <w:rPr>
          <w:rFonts w:ascii="Verdana" w:hAnsi="Verdana"/>
          <w:sz w:val="20"/>
          <w:szCs w:val="20"/>
        </w:rPr>
        <w:t>un</w:t>
      </w:r>
      <w:r>
        <w:rPr>
          <w:rFonts w:ascii="Verdana" w:hAnsi="Verdana"/>
          <w:sz w:val="20"/>
          <w:szCs w:val="20"/>
        </w:rPr>
        <w:t xml:space="preserve"> plan de qualification</w:t>
      </w:r>
      <w:r w:rsidR="002216D8">
        <w:rPr>
          <w:rFonts w:ascii="Verdana" w:hAnsi="Verdana"/>
          <w:sz w:val="20"/>
          <w:szCs w:val="20"/>
        </w:rPr>
        <w:t xml:space="preserve"> </w:t>
      </w:r>
      <w:r w:rsidR="0011370A">
        <w:rPr>
          <w:rFonts w:ascii="Verdana" w:hAnsi="Verdana"/>
          <w:sz w:val="20"/>
          <w:szCs w:val="20"/>
        </w:rPr>
        <w:t>défini</w:t>
      </w:r>
      <w:r>
        <w:rPr>
          <w:rFonts w:ascii="Verdana" w:hAnsi="Verdana"/>
          <w:sz w:val="20"/>
          <w:szCs w:val="20"/>
        </w:rPr>
        <w:t xml:space="preserve">. </w:t>
      </w:r>
    </w:p>
    <w:p w:rsidR="00BC373A" w:rsidRDefault="00BC373A" w:rsidP="00C667C1">
      <w:pPr>
        <w:spacing w:before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Tout changement concernant les différentes étapes du process, ainsi que les changements apportés aux moyens techniques utilisés doivent faire l’objet d’une vali</w:t>
      </w:r>
      <w:r w:rsidR="00AF3FE7">
        <w:rPr>
          <w:rFonts w:ascii="Verdana" w:hAnsi="Verdana"/>
          <w:sz w:val="20"/>
          <w:szCs w:val="20"/>
        </w:rPr>
        <w:t>dation préalable d’</w:t>
      </w:r>
      <w:proofErr w:type="spellStart"/>
      <w:r w:rsidR="00AF3FE7">
        <w:rPr>
          <w:rFonts w:ascii="Verdana" w:hAnsi="Verdana"/>
          <w:sz w:val="20"/>
          <w:szCs w:val="20"/>
        </w:rPr>
        <w:t>EcoTitanium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AF3FE7">
        <w:rPr>
          <w:rFonts w:ascii="Verdana" w:hAnsi="Verdana"/>
          <w:sz w:val="20"/>
          <w:szCs w:val="20"/>
        </w:rPr>
        <w:t xml:space="preserve">(ex : gamme, valeurs des paramètres-clés, …). </w:t>
      </w:r>
    </w:p>
    <w:p w:rsidR="00BC373A" w:rsidRDefault="00BC373A" w:rsidP="00C667C1">
      <w:pPr>
        <w:spacing w:before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 plus, les exigences relatives aux installations de traitement des </w:t>
      </w:r>
      <w:r w:rsidR="009603C1">
        <w:rPr>
          <w:rFonts w:ascii="Verdana" w:hAnsi="Verdana"/>
          <w:sz w:val="20"/>
          <w:szCs w:val="20"/>
        </w:rPr>
        <w:t>chutes massives</w:t>
      </w:r>
      <w:r>
        <w:rPr>
          <w:rFonts w:ascii="Verdana" w:hAnsi="Verdana"/>
          <w:sz w:val="20"/>
          <w:szCs w:val="20"/>
        </w:rPr>
        <w:t xml:space="preserve"> doivent être conformes aux exigences des référentiels ISO 9001/14001 en vigueur. </w:t>
      </w:r>
    </w:p>
    <w:p w:rsidR="00BC373A" w:rsidRPr="00332904" w:rsidRDefault="00BC373A" w:rsidP="00E20604">
      <w:pPr>
        <w:rPr>
          <w:rFonts w:ascii="Verdana" w:hAnsi="Verdana"/>
          <w:sz w:val="20"/>
          <w:szCs w:val="20"/>
        </w:rPr>
      </w:pPr>
    </w:p>
    <w:p w:rsidR="00A47948" w:rsidRPr="00525BDE" w:rsidRDefault="00972F9C" w:rsidP="00A47948">
      <w:pPr>
        <w:pStyle w:val="Sous-titre"/>
        <w:numPr>
          <w:ilvl w:val="0"/>
          <w:numId w:val="18"/>
        </w:numPr>
      </w:pPr>
      <w:r>
        <w:t>Contrôle / réception</w:t>
      </w:r>
    </w:p>
    <w:p w:rsidR="00D34C78" w:rsidRDefault="00D34C78" w:rsidP="00D34C78"/>
    <w:p w:rsidR="006752EA" w:rsidRDefault="006752EA" w:rsidP="006752EA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Une procédure de contrôle / réception devra être fournie par le processeur de </w:t>
      </w:r>
      <w:r w:rsidR="009603C1">
        <w:rPr>
          <w:rFonts w:ascii="Verdana" w:hAnsi="Verdana"/>
          <w:sz w:val="20"/>
        </w:rPr>
        <w:t>chutes</w:t>
      </w:r>
      <w:r>
        <w:rPr>
          <w:rFonts w:ascii="Verdana" w:hAnsi="Verdana"/>
          <w:sz w:val="20"/>
        </w:rPr>
        <w:t xml:space="preserve"> et validée par EcoTitanium. </w:t>
      </w:r>
    </w:p>
    <w:p w:rsidR="006752EA" w:rsidRDefault="006752EA" w:rsidP="0011370A">
      <w:pPr>
        <w:jc w:val="both"/>
        <w:rPr>
          <w:rFonts w:ascii="Verdana" w:hAnsi="Verdana"/>
          <w:sz w:val="20"/>
          <w:szCs w:val="20"/>
        </w:rPr>
      </w:pPr>
    </w:p>
    <w:p w:rsidR="00972F9C" w:rsidRDefault="00972F9C" w:rsidP="0011370A">
      <w:pPr>
        <w:jc w:val="both"/>
        <w:rPr>
          <w:rFonts w:ascii="Verdana" w:hAnsi="Verdana"/>
          <w:sz w:val="20"/>
          <w:szCs w:val="20"/>
        </w:rPr>
      </w:pPr>
      <w:r w:rsidRPr="00972F9C">
        <w:rPr>
          <w:rFonts w:ascii="Verdana" w:hAnsi="Verdana"/>
          <w:sz w:val="20"/>
          <w:szCs w:val="20"/>
        </w:rPr>
        <w:t xml:space="preserve">Dès réception </w:t>
      </w:r>
      <w:r>
        <w:rPr>
          <w:rFonts w:ascii="Verdana" w:hAnsi="Verdana"/>
          <w:sz w:val="20"/>
          <w:szCs w:val="20"/>
        </w:rPr>
        <w:t xml:space="preserve">des </w:t>
      </w:r>
      <w:r w:rsidR="009603C1">
        <w:rPr>
          <w:rFonts w:ascii="Verdana" w:hAnsi="Verdana"/>
          <w:sz w:val="20"/>
          <w:szCs w:val="20"/>
        </w:rPr>
        <w:t>chutes</w:t>
      </w:r>
      <w:r>
        <w:rPr>
          <w:rFonts w:ascii="Verdana" w:hAnsi="Verdana"/>
          <w:sz w:val="20"/>
          <w:szCs w:val="20"/>
        </w:rPr>
        <w:t>, une inspection de ces derni</w:t>
      </w:r>
      <w:r w:rsidR="009603C1">
        <w:rPr>
          <w:rFonts w:ascii="Verdana" w:hAnsi="Verdana"/>
          <w:sz w:val="20"/>
          <w:szCs w:val="20"/>
        </w:rPr>
        <w:t>è</w:t>
      </w:r>
      <w:r>
        <w:rPr>
          <w:rFonts w:ascii="Verdana" w:hAnsi="Verdana"/>
          <w:sz w:val="20"/>
          <w:szCs w:val="20"/>
        </w:rPr>
        <w:t>r</w:t>
      </w:r>
      <w:r w:rsidR="009603C1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s doit être effectuée afin de contrôler la conformité des produits vis-à-vis des indications spécifiées sur la fiche suiveuse (nuance / grade, poids brut expédié, poids net, …).</w:t>
      </w:r>
      <w:r w:rsidR="00AF3FE7" w:rsidRPr="00AF3FE7">
        <w:rPr>
          <w:rFonts w:ascii="Verdana" w:hAnsi="Verdana"/>
          <w:sz w:val="20"/>
          <w:szCs w:val="20"/>
        </w:rPr>
        <w:t xml:space="preserve"> </w:t>
      </w:r>
      <w:r w:rsidR="00AF3FE7">
        <w:rPr>
          <w:rFonts w:ascii="Verdana" w:hAnsi="Verdana"/>
          <w:sz w:val="20"/>
          <w:szCs w:val="20"/>
        </w:rPr>
        <w:t xml:space="preserve">Un échantillon du lot de </w:t>
      </w:r>
      <w:r w:rsidR="00AF3FE7">
        <w:rPr>
          <w:rFonts w:ascii="Verdana" w:hAnsi="Verdana"/>
          <w:sz w:val="20"/>
          <w:szCs w:val="20"/>
        </w:rPr>
        <w:t>chutes</w:t>
      </w:r>
      <w:r w:rsidR="00AF3FE7">
        <w:rPr>
          <w:rFonts w:ascii="Verdana" w:hAnsi="Verdana"/>
          <w:sz w:val="20"/>
          <w:szCs w:val="20"/>
        </w:rPr>
        <w:t xml:space="preserve"> sera prélevé et</w:t>
      </w:r>
      <w:r w:rsidR="00AF3FE7">
        <w:rPr>
          <w:rFonts w:ascii="Verdana" w:hAnsi="Verdana"/>
          <w:sz w:val="20"/>
          <w:szCs w:val="20"/>
        </w:rPr>
        <w:t xml:space="preserve"> analysé par le processeur de chutes</w:t>
      </w:r>
      <w:r w:rsidR="00AF3FE7">
        <w:rPr>
          <w:rFonts w:ascii="Verdana" w:hAnsi="Verdana"/>
          <w:sz w:val="20"/>
          <w:szCs w:val="20"/>
        </w:rPr>
        <w:t xml:space="preserve">. Si le lot n’est pas conforme, le processeur devra alerter </w:t>
      </w:r>
      <w:proofErr w:type="spellStart"/>
      <w:r w:rsidR="00AF3FE7">
        <w:rPr>
          <w:rFonts w:ascii="Verdana" w:hAnsi="Verdana"/>
          <w:sz w:val="20"/>
          <w:szCs w:val="20"/>
        </w:rPr>
        <w:t>EcoTitanium</w:t>
      </w:r>
      <w:proofErr w:type="spellEnd"/>
      <w:r w:rsidR="00AF3FE7">
        <w:rPr>
          <w:rFonts w:ascii="Verdana" w:hAnsi="Verdana"/>
          <w:sz w:val="20"/>
          <w:szCs w:val="20"/>
        </w:rPr>
        <w:t xml:space="preserve"> qui se réserve le droit de refuser le lot.</w:t>
      </w:r>
    </w:p>
    <w:p w:rsidR="00AF3FE7" w:rsidRDefault="00AF3FE7" w:rsidP="00AF3FE7">
      <w:pPr>
        <w:rPr>
          <w:rFonts w:ascii="Verdana" w:hAnsi="Verdana"/>
          <w:sz w:val="20"/>
          <w:szCs w:val="20"/>
        </w:rPr>
      </w:pPr>
    </w:p>
    <w:p w:rsidR="005B12DD" w:rsidRPr="00525BDE" w:rsidRDefault="005B12DD" w:rsidP="005B12DD">
      <w:pPr>
        <w:pStyle w:val="Sous-titre"/>
        <w:numPr>
          <w:ilvl w:val="0"/>
          <w:numId w:val="18"/>
        </w:numPr>
      </w:pPr>
      <w:r>
        <w:t xml:space="preserve">Traitement des </w:t>
      </w:r>
      <w:r w:rsidR="00F82EB5">
        <w:t>chutes massives</w:t>
      </w:r>
    </w:p>
    <w:p w:rsidR="005B12DD" w:rsidRDefault="005B12DD" w:rsidP="00D34C78">
      <w:pPr>
        <w:rPr>
          <w:rFonts w:ascii="Verdana" w:hAnsi="Verdana"/>
          <w:sz w:val="20"/>
          <w:szCs w:val="20"/>
        </w:rPr>
      </w:pPr>
    </w:p>
    <w:p w:rsidR="00E42FD7" w:rsidRDefault="00E42FD7" w:rsidP="00E42FD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Lors</w:t>
      </w:r>
      <w:r>
        <w:rPr>
          <w:rFonts w:ascii="Verdana" w:hAnsi="Verdana"/>
          <w:sz w:val="20"/>
          <w:szCs w:val="20"/>
        </w:rPr>
        <w:t xml:space="preserve"> du traitement, un lot de chutes pourra être divisé en plusieurs lots si nécessaire (Annexe 1 : gestion des lots de chutes). </w:t>
      </w:r>
    </w:p>
    <w:p w:rsidR="00E42FD7" w:rsidRDefault="00E42FD7" w:rsidP="00E42FD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 effet, à</w:t>
      </w:r>
      <w:r w:rsidRPr="00DF16CF">
        <w:rPr>
          <w:rFonts w:ascii="Verdana" w:hAnsi="Verdana"/>
          <w:sz w:val="20"/>
          <w:szCs w:val="20"/>
        </w:rPr>
        <w:t xml:space="preserve"> réception des chutes massives, </w:t>
      </w:r>
      <w:r>
        <w:rPr>
          <w:rFonts w:ascii="Verdana" w:hAnsi="Verdana"/>
          <w:sz w:val="20"/>
          <w:szCs w:val="20"/>
        </w:rPr>
        <w:t>le</w:t>
      </w:r>
      <w:r w:rsidRPr="00DF16CF">
        <w:rPr>
          <w:rFonts w:ascii="Verdana" w:hAnsi="Verdana"/>
          <w:sz w:val="20"/>
          <w:szCs w:val="20"/>
        </w:rPr>
        <w:t xml:space="preserve"> tri par qualité </w:t>
      </w:r>
      <w:r>
        <w:rPr>
          <w:rFonts w:ascii="Verdana" w:hAnsi="Verdana"/>
          <w:sz w:val="20"/>
          <w:szCs w:val="20"/>
        </w:rPr>
        <w:t xml:space="preserve">réalisé par le générateur de chutes </w:t>
      </w:r>
      <w:r w:rsidRPr="00DF16CF">
        <w:rPr>
          <w:rFonts w:ascii="Verdana" w:hAnsi="Verdana"/>
          <w:sz w:val="20"/>
          <w:szCs w:val="20"/>
        </w:rPr>
        <w:t xml:space="preserve">suivant la </w:t>
      </w:r>
      <w:r w:rsidRPr="00A71FDE">
        <w:rPr>
          <w:rFonts w:ascii="Verdana" w:hAnsi="Verdana"/>
          <w:sz w:val="20"/>
          <w:szCs w:val="20"/>
          <w:highlight w:val="yellow"/>
        </w:rPr>
        <w:t>photothèque (voir en annexe</w:t>
      </w:r>
      <w:r w:rsidRPr="00DF16CF">
        <w:rPr>
          <w:rFonts w:ascii="Verdana" w:hAnsi="Verdana"/>
          <w:sz w:val="20"/>
          <w:szCs w:val="20"/>
        </w:rPr>
        <w:t xml:space="preserve">) sera </w:t>
      </w:r>
      <w:r>
        <w:rPr>
          <w:rFonts w:ascii="Verdana" w:hAnsi="Verdana"/>
          <w:sz w:val="20"/>
          <w:szCs w:val="20"/>
        </w:rPr>
        <w:t>contrôlé et éventuellement corrigé</w:t>
      </w:r>
      <w:r w:rsidRPr="00DF16CF">
        <w:rPr>
          <w:rFonts w:ascii="Verdana" w:hAnsi="Verdana"/>
          <w:sz w:val="20"/>
          <w:szCs w:val="20"/>
        </w:rPr>
        <w:t xml:space="preserve"> par le processeur. En fonction de</w:t>
      </w:r>
      <w:r>
        <w:rPr>
          <w:rFonts w:ascii="Verdana" w:hAnsi="Verdana"/>
          <w:sz w:val="20"/>
          <w:szCs w:val="20"/>
        </w:rPr>
        <w:t xml:space="preserve"> la</w:t>
      </w:r>
      <w:r w:rsidRPr="00DF16CF">
        <w:rPr>
          <w:rFonts w:ascii="Verdana" w:hAnsi="Verdana"/>
          <w:sz w:val="20"/>
          <w:szCs w:val="20"/>
        </w:rPr>
        <w:t xml:space="preserve"> qualité</w:t>
      </w:r>
      <w:r>
        <w:rPr>
          <w:rFonts w:ascii="Verdana" w:hAnsi="Verdana"/>
          <w:sz w:val="20"/>
          <w:szCs w:val="20"/>
        </w:rPr>
        <w:t xml:space="preserve"> des chutes massives</w:t>
      </w:r>
      <w:r w:rsidRPr="00DF16CF">
        <w:rPr>
          <w:rFonts w:ascii="Verdana" w:hAnsi="Verdana"/>
          <w:sz w:val="20"/>
          <w:szCs w:val="20"/>
        </w:rPr>
        <w:t>, le processeur sera en charge de décider du traitement de nettoyage à leur appliquer.</w:t>
      </w:r>
      <w:r>
        <w:rPr>
          <w:rFonts w:ascii="Verdana" w:hAnsi="Verdana"/>
          <w:sz w:val="20"/>
          <w:szCs w:val="20"/>
        </w:rPr>
        <w:t xml:space="preserve"> De même, il devra décider de la méthode de calibrage la plus économique (moyen de découpe et dimensions choisies).</w:t>
      </w:r>
    </w:p>
    <w:p w:rsidR="00E42FD7" w:rsidRDefault="00E42FD7" w:rsidP="00F82905">
      <w:pPr>
        <w:jc w:val="both"/>
        <w:rPr>
          <w:rFonts w:ascii="Verdana" w:hAnsi="Verdana"/>
          <w:sz w:val="20"/>
          <w:szCs w:val="20"/>
        </w:rPr>
      </w:pPr>
    </w:p>
    <w:p w:rsidR="005B12DD" w:rsidRDefault="005B12DD" w:rsidP="00F8290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Les exigences d’</w:t>
      </w:r>
      <w:proofErr w:type="spellStart"/>
      <w:r>
        <w:rPr>
          <w:rFonts w:ascii="Verdana" w:hAnsi="Verdana"/>
          <w:sz w:val="20"/>
          <w:szCs w:val="20"/>
        </w:rPr>
        <w:t>EcoTitanium</w:t>
      </w:r>
      <w:proofErr w:type="spellEnd"/>
      <w:r>
        <w:rPr>
          <w:rFonts w:ascii="Verdana" w:hAnsi="Verdana"/>
          <w:sz w:val="20"/>
          <w:szCs w:val="20"/>
        </w:rPr>
        <w:t xml:space="preserve"> relative</w:t>
      </w:r>
      <w:r w:rsidR="00D569F1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 xml:space="preserve"> au processus de traitement des </w:t>
      </w:r>
      <w:r w:rsidR="00FE0C68">
        <w:rPr>
          <w:rFonts w:ascii="Verdana" w:hAnsi="Verdana"/>
          <w:sz w:val="20"/>
          <w:szCs w:val="20"/>
        </w:rPr>
        <w:t>chutes massives</w:t>
      </w:r>
      <w:r>
        <w:rPr>
          <w:rFonts w:ascii="Verdana" w:hAnsi="Verdana"/>
          <w:sz w:val="20"/>
          <w:szCs w:val="20"/>
        </w:rPr>
        <w:t xml:space="preserve"> sont les suivantes :</w:t>
      </w:r>
    </w:p>
    <w:p w:rsidR="005B12DD" w:rsidRDefault="005B12DD" w:rsidP="00F82905">
      <w:pPr>
        <w:pStyle w:val="Paragraphedeliste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Elimination des pollutions non métalliques,</w:t>
      </w:r>
    </w:p>
    <w:p w:rsidR="005B12DD" w:rsidRPr="00FE0C68" w:rsidRDefault="00F82905" w:rsidP="00FE0C68">
      <w:pPr>
        <w:pStyle w:val="Paragraphedeliste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Elimination des pollutions magnétiques</w:t>
      </w:r>
      <w:r w:rsidR="005B12DD">
        <w:rPr>
          <w:rFonts w:ascii="Verdana" w:hAnsi="Verdana"/>
          <w:sz w:val="20"/>
          <w:szCs w:val="20"/>
        </w:rPr>
        <w:t>,</w:t>
      </w:r>
    </w:p>
    <w:p w:rsidR="00F44A6A" w:rsidRDefault="00F44A6A" w:rsidP="00F44A6A">
      <w:pPr>
        <w:pStyle w:val="Paragraphedeliste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Echantillonnage et contrôle des lots traités, avec capacité analytique adaptée en fonction des nuances / grades traités,</w:t>
      </w:r>
    </w:p>
    <w:p w:rsidR="005B12DD" w:rsidRDefault="005B12DD" w:rsidP="00F82905">
      <w:pPr>
        <w:pStyle w:val="Paragraphedeliste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Maitrise du risque de pollution par enchainement de traitements de lots différents,</w:t>
      </w:r>
    </w:p>
    <w:p w:rsidR="005B12DD" w:rsidRDefault="00EB78BD" w:rsidP="00F82905">
      <w:pPr>
        <w:pStyle w:val="Paragraphedeliste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Assurer une traçabilité, </w:t>
      </w:r>
      <w:r w:rsidR="005B12DD">
        <w:rPr>
          <w:rFonts w:ascii="Verdana" w:hAnsi="Verdana"/>
          <w:sz w:val="20"/>
          <w:szCs w:val="20"/>
        </w:rPr>
        <w:t>un suivi et un marquage des lots de c</w:t>
      </w:r>
      <w:r w:rsidR="00FE0C68">
        <w:rPr>
          <w:rFonts w:ascii="Verdana" w:hAnsi="Verdana"/>
          <w:sz w:val="20"/>
          <w:szCs w:val="20"/>
        </w:rPr>
        <w:t>hutes</w:t>
      </w:r>
      <w:r w:rsidR="005B12DD">
        <w:rPr>
          <w:rFonts w:ascii="Verdana" w:hAnsi="Verdana"/>
          <w:sz w:val="20"/>
          <w:szCs w:val="20"/>
        </w:rPr>
        <w:t xml:space="preserve"> traités (procédure documentée à l’appui),</w:t>
      </w:r>
      <w:r w:rsidR="00D027AA">
        <w:rPr>
          <w:rFonts w:ascii="Verdana" w:hAnsi="Verdana"/>
          <w:sz w:val="20"/>
          <w:szCs w:val="20"/>
        </w:rPr>
        <w:t xml:space="preserve"> en particulier pour les lots de chutes qui pourraient être à l’origine de plusieurs qualités (Annexe 1 : gestion des lots de chutes).</w:t>
      </w:r>
    </w:p>
    <w:p w:rsidR="005B12DD" w:rsidRDefault="005B12DD" w:rsidP="00F82905">
      <w:pPr>
        <w:pStyle w:val="Paragraphedeliste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Mise en  place d’un suivi de rendement matière (</w:t>
      </w:r>
      <w:r w:rsidRPr="003D52ED">
        <w:rPr>
          <w:rFonts w:ascii="Verdana" w:hAnsi="Verdana"/>
          <w:sz w:val="20"/>
          <w:szCs w:val="20"/>
        </w:rPr>
        <w:t xml:space="preserve">taux </w:t>
      </w:r>
      <w:r w:rsidR="00410873" w:rsidRPr="003D52ED">
        <w:rPr>
          <w:rFonts w:ascii="Verdana" w:hAnsi="Verdana"/>
          <w:sz w:val="20"/>
          <w:szCs w:val="20"/>
        </w:rPr>
        <w:t xml:space="preserve">de pollution </w:t>
      </w:r>
      <w:r w:rsidRPr="003D52ED">
        <w:rPr>
          <w:rFonts w:ascii="Verdana" w:hAnsi="Verdana"/>
          <w:sz w:val="20"/>
          <w:szCs w:val="20"/>
        </w:rPr>
        <w:t xml:space="preserve">magnétique </w:t>
      </w:r>
      <w:r w:rsidR="00410873" w:rsidRPr="003D52ED">
        <w:rPr>
          <w:rFonts w:ascii="Verdana" w:hAnsi="Verdana"/>
          <w:sz w:val="20"/>
          <w:szCs w:val="20"/>
        </w:rPr>
        <w:t>et non métallique</w:t>
      </w:r>
      <w:r w:rsidR="003D52ED" w:rsidRPr="003D52ED">
        <w:rPr>
          <w:rFonts w:ascii="Verdana" w:hAnsi="Verdana"/>
          <w:sz w:val="20"/>
          <w:szCs w:val="20"/>
        </w:rPr>
        <w:t>, taux de qualité premium/standard</w:t>
      </w:r>
      <w:r w:rsidR="003A389B">
        <w:rPr>
          <w:rFonts w:ascii="Verdana" w:hAnsi="Verdana"/>
          <w:sz w:val="20"/>
          <w:szCs w:val="20"/>
        </w:rPr>
        <w:t>/non conforme</w:t>
      </w:r>
      <w:r w:rsidRPr="003D52ED">
        <w:rPr>
          <w:rFonts w:ascii="Verdana" w:hAnsi="Verdana"/>
          <w:sz w:val="20"/>
          <w:szCs w:val="20"/>
        </w:rPr>
        <w:t xml:space="preserve"> vis-à-vis du </w:t>
      </w:r>
      <w:r w:rsidR="00E27A2B" w:rsidRPr="003D52ED">
        <w:rPr>
          <w:rFonts w:ascii="Verdana" w:hAnsi="Verdana"/>
          <w:sz w:val="20"/>
          <w:szCs w:val="20"/>
        </w:rPr>
        <w:t xml:space="preserve">volume </w:t>
      </w:r>
      <w:r w:rsidRPr="003D52ED">
        <w:rPr>
          <w:rFonts w:ascii="Verdana" w:hAnsi="Verdana"/>
          <w:sz w:val="20"/>
          <w:szCs w:val="20"/>
        </w:rPr>
        <w:t xml:space="preserve">de </w:t>
      </w:r>
      <w:r w:rsidR="00FE0C68" w:rsidRPr="003D52ED">
        <w:rPr>
          <w:rFonts w:ascii="Verdana" w:hAnsi="Verdana"/>
          <w:sz w:val="20"/>
          <w:szCs w:val="20"/>
        </w:rPr>
        <w:t>chutes massives</w:t>
      </w:r>
      <w:r w:rsidRPr="003D52ED">
        <w:rPr>
          <w:rFonts w:ascii="Verdana" w:hAnsi="Verdana"/>
          <w:sz w:val="20"/>
          <w:szCs w:val="20"/>
        </w:rPr>
        <w:t xml:space="preserve"> </w:t>
      </w:r>
      <w:r w:rsidR="00E27A2B" w:rsidRPr="003D52ED">
        <w:rPr>
          <w:rFonts w:ascii="Verdana" w:hAnsi="Verdana"/>
          <w:sz w:val="20"/>
          <w:szCs w:val="20"/>
        </w:rPr>
        <w:t>à réception</w:t>
      </w:r>
      <w:r>
        <w:rPr>
          <w:rFonts w:ascii="Verdana" w:hAnsi="Verdana"/>
          <w:sz w:val="20"/>
          <w:szCs w:val="20"/>
        </w:rPr>
        <w:t>),</w:t>
      </w:r>
    </w:p>
    <w:p w:rsidR="00DF1DB0" w:rsidRDefault="00DF1DB0" w:rsidP="00F82905">
      <w:pPr>
        <w:pStyle w:val="Paragraphedeliste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Mise en place d’un suivi des paramètres clés du process (définis après la réalisation d’une AMDEC par le processeur),</w:t>
      </w:r>
    </w:p>
    <w:p w:rsidR="005B12DD" w:rsidRDefault="005B12DD" w:rsidP="00F82905">
      <w:pPr>
        <w:pStyle w:val="Paragraphedeliste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Respect des exigences environnementales en vigueur avant expédition des lots traités,</w:t>
      </w:r>
    </w:p>
    <w:p w:rsidR="002E6549" w:rsidRDefault="005B12DD" w:rsidP="00F82905">
      <w:pPr>
        <w:pStyle w:val="Paragraphedeliste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Procédure traitant de la gestion des compétences et des qualifications des opérateurs. </w:t>
      </w:r>
    </w:p>
    <w:p w:rsidR="00DA525B" w:rsidRDefault="00DA525B" w:rsidP="00F82905">
      <w:pPr>
        <w:pStyle w:val="Paragraphedeliste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Les dimensions des chutes après traitement doivent suivre </w:t>
      </w:r>
      <w:r w:rsidR="003A389B">
        <w:rPr>
          <w:rFonts w:ascii="Verdana" w:hAnsi="Verdana"/>
          <w:sz w:val="20"/>
          <w:szCs w:val="20"/>
        </w:rPr>
        <w:t>une des 2 caractéristiques</w:t>
      </w:r>
      <w:r>
        <w:rPr>
          <w:rFonts w:ascii="Verdana" w:hAnsi="Verdana"/>
          <w:sz w:val="20"/>
          <w:szCs w:val="20"/>
        </w:rPr>
        <w:t xml:space="preserve"> </w:t>
      </w:r>
      <w:r w:rsidR="003A389B">
        <w:rPr>
          <w:rFonts w:ascii="Verdana" w:hAnsi="Verdana"/>
          <w:sz w:val="20"/>
          <w:szCs w:val="20"/>
        </w:rPr>
        <w:t xml:space="preserve">énoncées ci-dessous. Le processeur de chutes aura la charge de choisir </w:t>
      </w:r>
      <w:r w:rsidR="00687732">
        <w:rPr>
          <w:rFonts w:ascii="Verdana" w:hAnsi="Verdana"/>
          <w:sz w:val="20"/>
          <w:szCs w:val="20"/>
        </w:rPr>
        <w:t xml:space="preserve">entre ces 2 possibilités en fonction de la qualité attendue par </w:t>
      </w:r>
      <w:proofErr w:type="spellStart"/>
      <w:r w:rsidR="00687732">
        <w:rPr>
          <w:rFonts w:ascii="Verdana" w:hAnsi="Verdana"/>
          <w:sz w:val="20"/>
          <w:szCs w:val="20"/>
        </w:rPr>
        <w:t>EcoTitanium</w:t>
      </w:r>
      <w:proofErr w:type="spellEnd"/>
      <w:r w:rsidR="00687732">
        <w:rPr>
          <w:rFonts w:ascii="Verdana" w:hAnsi="Verdana"/>
          <w:sz w:val="20"/>
          <w:szCs w:val="20"/>
        </w:rPr>
        <w:t xml:space="preserve"> et du cout associé.</w:t>
      </w:r>
    </w:p>
    <w:p w:rsidR="002A5742" w:rsidRDefault="002A5742" w:rsidP="002A5742">
      <w:pPr>
        <w:pStyle w:val="Paragraphedeliste"/>
        <w:jc w:val="both"/>
        <w:rPr>
          <w:rFonts w:ascii="Verdana" w:hAnsi="Verdana"/>
          <w:sz w:val="20"/>
          <w:szCs w:val="20"/>
        </w:rPr>
      </w:pPr>
    </w:p>
    <w:p w:rsidR="00EB6E38" w:rsidRDefault="00252E75" w:rsidP="00EB6E38">
      <w:pPr>
        <w:pStyle w:val="Paragraphedeliste"/>
        <w:numPr>
          <w:ilvl w:val="1"/>
          <w:numId w:val="2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Dimensions n°</w:t>
      </w:r>
      <w:r w:rsidR="00EB6E38">
        <w:rPr>
          <w:rFonts w:ascii="Verdana" w:hAnsi="Verdana"/>
          <w:sz w:val="20"/>
          <w:szCs w:val="20"/>
        </w:rPr>
        <w:t>1 :</w:t>
      </w:r>
    </w:p>
    <w:p w:rsidR="00DA525B" w:rsidRDefault="00DA525B" w:rsidP="00EB6E38">
      <w:pPr>
        <w:pStyle w:val="Paragraphedeliste"/>
        <w:numPr>
          <w:ilvl w:val="2"/>
          <w:numId w:val="2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Le diamètre maximal d’une pièce ne doit pas être supérieur à 350 </w:t>
      </w:r>
      <w:proofErr w:type="spellStart"/>
      <w:r>
        <w:rPr>
          <w:rFonts w:ascii="Verdana" w:hAnsi="Verdana"/>
          <w:sz w:val="20"/>
          <w:szCs w:val="20"/>
        </w:rPr>
        <w:t>mm.</w:t>
      </w:r>
      <w:proofErr w:type="spellEnd"/>
    </w:p>
    <w:p w:rsidR="00DA525B" w:rsidRDefault="00DA525B" w:rsidP="00EB6E38">
      <w:pPr>
        <w:pStyle w:val="Paragraphedeliste"/>
        <w:numPr>
          <w:ilvl w:val="2"/>
          <w:numId w:val="2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La section d’une pièce ne doit pas excéder 350 mm x 350 </w:t>
      </w:r>
      <w:proofErr w:type="spellStart"/>
      <w:r>
        <w:rPr>
          <w:rFonts w:ascii="Verdana" w:hAnsi="Verdana"/>
          <w:sz w:val="20"/>
          <w:szCs w:val="20"/>
        </w:rPr>
        <w:t>mm.</w:t>
      </w:r>
      <w:proofErr w:type="spellEnd"/>
    </w:p>
    <w:p w:rsidR="00DA525B" w:rsidRDefault="00DA525B" w:rsidP="00EB6E38">
      <w:pPr>
        <w:pStyle w:val="Paragraphedeliste"/>
        <w:numPr>
          <w:ilvl w:val="2"/>
          <w:numId w:val="2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La longueur maximale de chaque chute doit être inférieure à 1000 </w:t>
      </w:r>
      <w:proofErr w:type="spellStart"/>
      <w:r>
        <w:rPr>
          <w:rFonts w:ascii="Verdana" w:hAnsi="Verdana"/>
          <w:sz w:val="20"/>
          <w:szCs w:val="20"/>
        </w:rPr>
        <w:t>mm.</w:t>
      </w:r>
      <w:proofErr w:type="spellEnd"/>
    </w:p>
    <w:p w:rsidR="00DA525B" w:rsidRDefault="00DA525B" w:rsidP="00EB6E38">
      <w:pPr>
        <w:pStyle w:val="Paragraphedeliste"/>
        <w:numPr>
          <w:ilvl w:val="2"/>
          <w:numId w:val="2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Le poids d’une chute </w:t>
      </w:r>
      <w:r w:rsidR="009E0967">
        <w:rPr>
          <w:rFonts w:ascii="Verdana" w:hAnsi="Verdana"/>
          <w:sz w:val="20"/>
          <w:szCs w:val="20"/>
        </w:rPr>
        <w:t>n</w:t>
      </w:r>
      <w:r>
        <w:rPr>
          <w:rFonts w:ascii="Verdana" w:hAnsi="Verdana"/>
          <w:sz w:val="20"/>
          <w:szCs w:val="20"/>
        </w:rPr>
        <w:t>e doit pas excéder 550 kg.</w:t>
      </w:r>
    </w:p>
    <w:p w:rsidR="00EB6E38" w:rsidRDefault="00252E75" w:rsidP="00EB6E38">
      <w:pPr>
        <w:pStyle w:val="Paragraphedeliste"/>
        <w:numPr>
          <w:ilvl w:val="1"/>
          <w:numId w:val="2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Dimensions n°</w:t>
      </w:r>
      <w:r w:rsidR="00EB6E38">
        <w:rPr>
          <w:rFonts w:ascii="Verdana" w:hAnsi="Verdana"/>
          <w:sz w:val="20"/>
          <w:szCs w:val="20"/>
        </w:rPr>
        <w:t>2 :</w:t>
      </w:r>
    </w:p>
    <w:p w:rsidR="00EB6E38" w:rsidRPr="002E6549" w:rsidRDefault="00EB6E38" w:rsidP="00EB6E38">
      <w:pPr>
        <w:pStyle w:val="Paragraphedeliste"/>
        <w:numPr>
          <w:ilvl w:val="2"/>
          <w:numId w:val="2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Les chutes devront être coupées en morceaux de 2 kg maximum inscrit dans un cube de 100 mm de côté. </w:t>
      </w:r>
    </w:p>
    <w:p w:rsidR="00252E75" w:rsidRDefault="00252E75" w:rsidP="00F82905">
      <w:pPr>
        <w:jc w:val="both"/>
        <w:rPr>
          <w:rFonts w:ascii="Verdana" w:hAnsi="Verdana"/>
          <w:sz w:val="20"/>
          <w:szCs w:val="20"/>
        </w:rPr>
      </w:pPr>
    </w:p>
    <w:p w:rsidR="002E6549" w:rsidRDefault="002E6549" w:rsidP="00F82905">
      <w:pPr>
        <w:jc w:val="both"/>
        <w:rPr>
          <w:rFonts w:ascii="Verdana" w:hAnsi="Verdana"/>
          <w:sz w:val="20"/>
          <w:szCs w:val="20"/>
        </w:rPr>
      </w:pPr>
      <w:r w:rsidRPr="00DF16CF">
        <w:rPr>
          <w:rFonts w:ascii="Verdana" w:hAnsi="Verdana"/>
          <w:sz w:val="20"/>
          <w:szCs w:val="20"/>
        </w:rPr>
        <w:t>Les 2 qualités considérées après traitement sont </w:t>
      </w:r>
      <w:r w:rsidR="00DF16CF">
        <w:rPr>
          <w:rFonts w:ascii="Verdana" w:hAnsi="Verdana"/>
          <w:sz w:val="20"/>
          <w:szCs w:val="20"/>
        </w:rPr>
        <w:t>« </w:t>
      </w:r>
      <w:r w:rsidRPr="00DF16CF">
        <w:rPr>
          <w:rFonts w:ascii="Verdana" w:hAnsi="Verdana"/>
          <w:sz w:val="20"/>
          <w:szCs w:val="20"/>
        </w:rPr>
        <w:t>qualité standard</w:t>
      </w:r>
      <w:r w:rsidR="00DF16CF">
        <w:rPr>
          <w:rFonts w:ascii="Verdana" w:hAnsi="Verdana"/>
          <w:sz w:val="20"/>
          <w:szCs w:val="20"/>
        </w:rPr>
        <w:t> »</w:t>
      </w:r>
      <w:r w:rsidRPr="00DF16CF">
        <w:rPr>
          <w:rFonts w:ascii="Verdana" w:hAnsi="Verdana"/>
          <w:sz w:val="20"/>
          <w:szCs w:val="20"/>
        </w:rPr>
        <w:t xml:space="preserve"> et </w:t>
      </w:r>
      <w:r w:rsidR="00DF16CF">
        <w:rPr>
          <w:rFonts w:ascii="Verdana" w:hAnsi="Verdana"/>
          <w:sz w:val="20"/>
          <w:szCs w:val="20"/>
        </w:rPr>
        <w:t>« </w:t>
      </w:r>
      <w:r w:rsidRPr="00DF16CF">
        <w:rPr>
          <w:rFonts w:ascii="Verdana" w:hAnsi="Verdana"/>
          <w:sz w:val="20"/>
          <w:szCs w:val="20"/>
        </w:rPr>
        <w:t>qualité premium</w:t>
      </w:r>
      <w:r w:rsidR="00DF16CF">
        <w:rPr>
          <w:rFonts w:ascii="Verdana" w:hAnsi="Verdana"/>
          <w:sz w:val="20"/>
          <w:szCs w:val="20"/>
        </w:rPr>
        <w:t> » qui doivent respectées les conditions décrites dans le tableau ci-dessous</w:t>
      </w:r>
      <w:r w:rsidR="006832E6">
        <w:rPr>
          <w:rFonts w:ascii="Verdana" w:hAnsi="Verdana"/>
          <w:sz w:val="20"/>
          <w:szCs w:val="20"/>
        </w:rPr>
        <w:t> :</w:t>
      </w:r>
    </w:p>
    <w:p w:rsidR="00DF16CF" w:rsidRDefault="00DF16CF" w:rsidP="00F82905">
      <w:pPr>
        <w:jc w:val="both"/>
        <w:rPr>
          <w:rFonts w:ascii="Verdana" w:hAnsi="Verdana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778"/>
        <w:gridCol w:w="1716"/>
        <w:gridCol w:w="1716"/>
      </w:tblGrid>
      <w:tr w:rsidR="00DF16CF" w:rsidRPr="00DF16CF" w:rsidTr="005B6F43">
        <w:tc>
          <w:tcPr>
            <w:tcW w:w="5778" w:type="dxa"/>
            <w:vAlign w:val="center"/>
          </w:tcPr>
          <w:p w:rsidR="00DF16CF" w:rsidRPr="00DF16CF" w:rsidRDefault="00A41088" w:rsidP="00A4108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Types d</w:t>
            </w:r>
            <w:r w:rsidR="00DF16CF" w:rsidRPr="00DF16CF">
              <w:rPr>
                <w:rFonts w:ascii="Verdana" w:hAnsi="Verdana"/>
                <w:b/>
                <w:sz w:val="20"/>
                <w:szCs w:val="20"/>
              </w:rPr>
              <w:t xml:space="preserve">e </w:t>
            </w:r>
            <w:r>
              <w:rPr>
                <w:rFonts w:ascii="Verdana" w:hAnsi="Verdana"/>
                <w:b/>
                <w:sz w:val="20"/>
                <w:szCs w:val="20"/>
              </w:rPr>
              <w:t>chutes</w:t>
            </w:r>
          </w:p>
        </w:tc>
        <w:tc>
          <w:tcPr>
            <w:tcW w:w="1716" w:type="dxa"/>
            <w:vAlign w:val="center"/>
          </w:tcPr>
          <w:p w:rsidR="00DF16CF" w:rsidRPr="00DF16CF" w:rsidRDefault="00DF16CF" w:rsidP="00DF16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F16CF">
              <w:rPr>
                <w:rFonts w:ascii="Verdana" w:hAnsi="Verdana"/>
                <w:b/>
                <w:sz w:val="20"/>
                <w:szCs w:val="20"/>
              </w:rPr>
              <w:t>Qualité standard</w:t>
            </w:r>
          </w:p>
        </w:tc>
        <w:tc>
          <w:tcPr>
            <w:tcW w:w="1716" w:type="dxa"/>
            <w:vAlign w:val="center"/>
          </w:tcPr>
          <w:p w:rsidR="00DF16CF" w:rsidRPr="00DF16CF" w:rsidRDefault="00DF16CF" w:rsidP="005B6F4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F16CF">
              <w:rPr>
                <w:rFonts w:ascii="Verdana" w:hAnsi="Verdana"/>
                <w:b/>
                <w:sz w:val="20"/>
                <w:szCs w:val="20"/>
              </w:rPr>
              <w:t>Qualité premium</w:t>
            </w:r>
          </w:p>
        </w:tc>
      </w:tr>
      <w:tr w:rsidR="00DF16CF" w:rsidTr="005B6F43">
        <w:tc>
          <w:tcPr>
            <w:tcW w:w="5778" w:type="dxa"/>
          </w:tcPr>
          <w:p w:rsidR="00DF16CF" w:rsidRDefault="00DF16CF" w:rsidP="00F8290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Toute matière qui est brûlée ou qui a été traitée sur un équipement ayant subi un feu et avant son nettoyage.</w:t>
            </w:r>
          </w:p>
        </w:tc>
        <w:tc>
          <w:tcPr>
            <w:tcW w:w="1716" w:type="dxa"/>
            <w:vAlign w:val="center"/>
          </w:tcPr>
          <w:p w:rsidR="00DF16CF" w:rsidRDefault="00DF16CF" w:rsidP="00DF16C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Non</w:t>
            </w:r>
          </w:p>
        </w:tc>
        <w:tc>
          <w:tcPr>
            <w:tcW w:w="1716" w:type="dxa"/>
            <w:vAlign w:val="center"/>
          </w:tcPr>
          <w:p w:rsidR="00DF16CF" w:rsidRDefault="00DF16CF" w:rsidP="005B6F4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Non</w:t>
            </w:r>
          </w:p>
        </w:tc>
      </w:tr>
      <w:tr w:rsidR="00DF16CF" w:rsidTr="005B6F43">
        <w:tc>
          <w:tcPr>
            <w:tcW w:w="5778" w:type="dxa"/>
          </w:tcPr>
          <w:p w:rsidR="00DF16CF" w:rsidRDefault="00DF16CF" w:rsidP="00F8290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Corps étrangers (bois, plastiques, papiers, cartons, …)</w:t>
            </w:r>
          </w:p>
        </w:tc>
        <w:tc>
          <w:tcPr>
            <w:tcW w:w="1716" w:type="dxa"/>
            <w:vAlign w:val="center"/>
          </w:tcPr>
          <w:p w:rsidR="00DF16CF" w:rsidRDefault="00DF16CF" w:rsidP="00DF16C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Non</w:t>
            </w:r>
          </w:p>
        </w:tc>
        <w:tc>
          <w:tcPr>
            <w:tcW w:w="1716" w:type="dxa"/>
            <w:vAlign w:val="center"/>
          </w:tcPr>
          <w:p w:rsidR="00DF16CF" w:rsidRDefault="00DF16CF" w:rsidP="005B6F4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Non</w:t>
            </w:r>
          </w:p>
        </w:tc>
      </w:tr>
      <w:tr w:rsidR="00DF16CF" w:rsidTr="005B6F43">
        <w:tc>
          <w:tcPr>
            <w:tcW w:w="5778" w:type="dxa"/>
          </w:tcPr>
          <w:p w:rsidR="00DF16CF" w:rsidRDefault="00DF16CF" w:rsidP="00D304C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Matériau revêtu avec une substance ne pouvant pas être éliminée par lavage ou grenaillage</w:t>
            </w:r>
          </w:p>
        </w:tc>
        <w:tc>
          <w:tcPr>
            <w:tcW w:w="1716" w:type="dxa"/>
            <w:vAlign w:val="center"/>
          </w:tcPr>
          <w:p w:rsidR="00DF16CF" w:rsidRDefault="00DF16CF" w:rsidP="00DF16C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Non</w:t>
            </w:r>
          </w:p>
        </w:tc>
        <w:tc>
          <w:tcPr>
            <w:tcW w:w="1716" w:type="dxa"/>
            <w:vAlign w:val="center"/>
          </w:tcPr>
          <w:p w:rsidR="00DF16CF" w:rsidRDefault="00DF16CF" w:rsidP="005B6F4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Non</w:t>
            </w:r>
          </w:p>
        </w:tc>
      </w:tr>
      <w:tr w:rsidR="00DF16CF" w:rsidTr="005B6F43">
        <w:tc>
          <w:tcPr>
            <w:tcW w:w="5778" w:type="dxa"/>
          </w:tcPr>
          <w:p w:rsidR="00DF16CF" w:rsidRDefault="005B6F43" w:rsidP="00F8290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Matériau avec présence connue de LDI</w:t>
            </w:r>
          </w:p>
        </w:tc>
        <w:tc>
          <w:tcPr>
            <w:tcW w:w="1716" w:type="dxa"/>
            <w:vAlign w:val="center"/>
          </w:tcPr>
          <w:p w:rsidR="00DF16CF" w:rsidRDefault="005B6F43" w:rsidP="00DF16C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Non</w:t>
            </w:r>
          </w:p>
        </w:tc>
        <w:tc>
          <w:tcPr>
            <w:tcW w:w="1716" w:type="dxa"/>
            <w:vAlign w:val="center"/>
          </w:tcPr>
          <w:p w:rsidR="00DF16CF" w:rsidRDefault="005B6F43" w:rsidP="005B6F4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Non</w:t>
            </w:r>
          </w:p>
        </w:tc>
      </w:tr>
      <w:tr w:rsidR="00DF16CF" w:rsidTr="005B6F43">
        <w:tc>
          <w:tcPr>
            <w:tcW w:w="5778" w:type="dxa"/>
          </w:tcPr>
          <w:p w:rsidR="00DF16CF" w:rsidRDefault="005B6F43" w:rsidP="00F8290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Matériau avec présence connue de HDI</w:t>
            </w:r>
          </w:p>
        </w:tc>
        <w:tc>
          <w:tcPr>
            <w:tcW w:w="1716" w:type="dxa"/>
            <w:vAlign w:val="center"/>
          </w:tcPr>
          <w:p w:rsidR="00DF16CF" w:rsidRDefault="005B6F43" w:rsidP="00DF16C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Non</w:t>
            </w:r>
          </w:p>
        </w:tc>
        <w:tc>
          <w:tcPr>
            <w:tcW w:w="1716" w:type="dxa"/>
            <w:vAlign w:val="center"/>
          </w:tcPr>
          <w:p w:rsidR="00DF16CF" w:rsidRDefault="005B6F43" w:rsidP="005B6F4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Non</w:t>
            </w:r>
          </w:p>
        </w:tc>
      </w:tr>
      <w:tr w:rsidR="00B61F98" w:rsidTr="005B6F43">
        <w:tc>
          <w:tcPr>
            <w:tcW w:w="5778" w:type="dxa"/>
          </w:tcPr>
          <w:p w:rsidR="00B61F98" w:rsidRDefault="00B61F98" w:rsidP="00B61F9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Matière non inspectée par un contrôle US</w:t>
            </w:r>
          </w:p>
        </w:tc>
        <w:tc>
          <w:tcPr>
            <w:tcW w:w="1716" w:type="dxa"/>
            <w:vAlign w:val="center"/>
          </w:tcPr>
          <w:p w:rsidR="00B61F98" w:rsidRDefault="00B61F98" w:rsidP="00DF16C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70C65">
              <w:rPr>
                <w:rFonts w:ascii="Verdana" w:hAnsi="Verdana"/>
                <w:color w:val="FF0000"/>
                <w:sz w:val="20"/>
                <w:szCs w:val="20"/>
                <w:highlight w:val="yellow"/>
              </w:rPr>
              <w:t>Oui</w:t>
            </w:r>
          </w:p>
        </w:tc>
        <w:tc>
          <w:tcPr>
            <w:tcW w:w="1716" w:type="dxa"/>
            <w:vAlign w:val="center"/>
          </w:tcPr>
          <w:p w:rsidR="00B61F98" w:rsidRDefault="00B61F98" w:rsidP="005B6F4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Non</w:t>
            </w:r>
          </w:p>
        </w:tc>
      </w:tr>
      <w:tr w:rsidR="005B6F43" w:rsidTr="005B6F43">
        <w:tc>
          <w:tcPr>
            <w:tcW w:w="5778" w:type="dxa"/>
          </w:tcPr>
          <w:p w:rsidR="005B6F43" w:rsidRDefault="005B6F43" w:rsidP="00B61F9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Matière avec trou borgne </w:t>
            </w:r>
            <w:r w:rsidR="00B61F98">
              <w:rPr>
                <w:rFonts w:ascii="Verdana" w:hAnsi="Verdana"/>
                <w:sz w:val="20"/>
                <w:szCs w:val="20"/>
              </w:rPr>
              <w:t>ne pouvant être inspecté</w:t>
            </w:r>
          </w:p>
        </w:tc>
        <w:tc>
          <w:tcPr>
            <w:tcW w:w="1716" w:type="dxa"/>
            <w:vAlign w:val="center"/>
          </w:tcPr>
          <w:p w:rsidR="005B6F43" w:rsidRDefault="005B6F43" w:rsidP="00DF16C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Non</w:t>
            </w:r>
          </w:p>
        </w:tc>
        <w:tc>
          <w:tcPr>
            <w:tcW w:w="1716" w:type="dxa"/>
            <w:vAlign w:val="center"/>
          </w:tcPr>
          <w:p w:rsidR="005B6F43" w:rsidRDefault="005B6F43" w:rsidP="005B6F4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Non</w:t>
            </w:r>
          </w:p>
        </w:tc>
      </w:tr>
      <w:tr w:rsidR="00B61F98" w:rsidTr="005B6F43">
        <w:tc>
          <w:tcPr>
            <w:tcW w:w="5778" w:type="dxa"/>
          </w:tcPr>
          <w:p w:rsidR="00B61F98" w:rsidRDefault="00B61F98" w:rsidP="00F8290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Matière </w:t>
            </w:r>
            <w:r w:rsidR="00E7142D">
              <w:rPr>
                <w:rFonts w:ascii="Verdana" w:hAnsi="Verdana"/>
                <w:sz w:val="20"/>
                <w:szCs w:val="20"/>
              </w:rPr>
              <w:t>présentant des replis (ou autres cavités non contrôlables)</w:t>
            </w:r>
          </w:p>
        </w:tc>
        <w:tc>
          <w:tcPr>
            <w:tcW w:w="1716" w:type="dxa"/>
            <w:vAlign w:val="center"/>
          </w:tcPr>
          <w:p w:rsidR="00B61F98" w:rsidRDefault="00E7142D" w:rsidP="00DF16C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Oui</w:t>
            </w:r>
          </w:p>
        </w:tc>
        <w:tc>
          <w:tcPr>
            <w:tcW w:w="1716" w:type="dxa"/>
            <w:vAlign w:val="center"/>
          </w:tcPr>
          <w:p w:rsidR="00B61F98" w:rsidRDefault="00E7142D" w:rsidP="005B6F4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Non</w:t>
            </w:r>
          </w:p>
        </w:tc>
      </w:tr>
      <w:tr w:rsidR="005B6F43" w:rsidTr="005B6F43">
        <w:tc>
          <w:tcPr>
            <w:tcW w:w="5778" w:type="dxa"/>
          </w:tcPr>
          <w:p w:rsidR="005B6F43" w:rsidRDefault="005B6F43" w:rsidP="00F8290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Matière avec fissures d’une profondeur &lt; 25 mm</w:t>
            </w:r>
          </w:p>
        </w:tc>
        <w:tc>
          <w:tcPr>
            <w:tcW w:w="1716" w:type="dxa"/>
            <w:vAlign w:val="center"/>
          </w:tcPr>
          <w:p w:rsidR="005B6F43" w:rsidRDefault="005B6F43" w:rsidP="00DF16C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Oui</w:t>
            </w:r>
          </w:p>
        </w:tc>
        <w:tc>
          <w:tcPr>
            <w:tcW w:w="1716" w:type="dxa"/>
            <w:vAlign w:val="center"/>
          </w:tcPr>
          <w:p w:rsidR="005B6F43" w:rsidRDefault="005B6F43" w:rsidP="005B6F4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Non</w:t>
            </w:r>
          </w:p>
        </w:tc>
      </w:tr>
      <w:tr w:rsidR="005B6F43" w:rsidTr="005B6F43">
        <w:tc>
          <w:tcPr>
            <w:tcW w:w="5778" w:type="dxa"/>
          </w:tcPr>
          <w:p w:rsidR="005B6F43" w:rsidRDefault="005B6F43" w:rsidP="005B6F43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Matière avec fissures d’une profondeur &gt; 25 mm</w:t>
            </w:r>
          </w:p>
        </w:tc>
        <w:tc>
          <w:tcPr>
            <w:tcW w:w="1716" w:type="dxa"/>
            <w:vAlign w:val="center"/>
          </w:tcPr>
          <w:p w:rsidR="005B6F43" w:rsidRDefault="005B6F43" w:rsidP="00DF16C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Non</w:t>
            </w:r>
          </w:p>
        </w:tc>
        <w:tc>
          <w:tcPr>
            <w:tcW w:w="1716" w:type="dxa"/>
            <w:vAlign w:val="center"/>
          </w:tcPr>
          <w:p w:rsidR="005B6F43" w:rsidRDefault="005B6F43" w:rsidP="005B6F4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Non</w:t>
            </w:r>
          </w:p>
        </w:tc>
      </w:tr>
      <w:tr w:rsidR="005B6F43" w:rsidTr="005B6F43">
        <w:tc>
          <w:tcPr>
            <w:tcW w:w="5778" w:type="dxa"/>
          </w:tcPr>
          <w:p w:rsidR="005B6F43" w:rsidRDefault="00B61F98" w:rsidP="005B6F43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Pièce coupée par un moyen de fusion (torche…)</w:t>
            </w:r>
          </w:p>
        </w:tc>
        <w:tc>
          <w:tcPr>
            <w:tcW w:w="1716" w:type="dxa"/>
            <w:vAlign w:val="center"/>
          </w:tcPr>
          <w:p w:rsidR="005B6F43" w:rsidRDefault="00B61F98" w:rsidP="00DF16C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Oui</w:t>
            </w:r>
          </w:p>
        </w:tc>
        <w:tc>
          <w:tcPr>
            <w:tcW w:w="1716" w:type="dxa"/>
            <w:vAlign w:val="center"/>
          </w:tcPr>
          <w:p w:rsidR="005B6F43" w:rsidRDefault="00B61F98" w:rsidP="005B6F4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Non</w:t>
            </w:r>
          </w:p>
        </w:tc>
      </w:tr>
      <w:tr w:rsidR="00B61F98" w:rsidTr="005B6F43">
        <w:tc>
          <w:tcPr>
            <w:tcW w:w="5778" w:type="dxa"/>
          </w:tcPr>
          <w:p w:rsidR="00B61F98" w:rsidRDefault="000B2461" w:rsidP="005B6F43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Produits issus de fonderie de Titane</w:t>
            </w:r>
          </w:p>
        </w:tc>
        <w:tc>
          <w:tcPr>
            <w:tcW w:w="1716" w:type="dxa"/>
            <w:vAlign w:val="center"/>
          </w:tcPr>
          <w:p w:rsidR="00B61F98" w:rsidRDefault="000B2461" w:rsidP="00DF16C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Non</w:t>
            </w:r>
          </w:p>
        </w:tc>
        <w:tc>
          <w:tcPr>
            <w:tcW w:w="1716" w:type="dxa"/>
            <w:vAlign w:val="center"/>
          </w:tcPr>
          <w:p w:rsidR="00B61F98" w:rsidRDefault="000B2461" w:rsidP="005B6F4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Non</w:t>
            </w:r>
          </w:p>
        </w:tc>
      </w:tr>
    </w:tbl>
    <w:p w:rsidR="00DF16CF" w:rsidRPr="00D31433" w:rsidRDefault="00DF16CF" w:rsidP="00F82905">
      <w:pPr>
        <w:jc w:val="both"/>
        <w:rPr>
          <w:rFonts w:ascii="Verdana" w:hAnsi="Verdana"/>
          <w:i/>
          <w:color w:val="0070C0"/>
          <w:sz w:val="20"/>
          <w:szCs w:val="20"/>
        </w:rPr>
      </w:pPr>
      <w:r w:rsidRPr="00D31433">
        <w:rPr>
          <w:rFonts w:ascii="Verdana" w:hAnsi="Verdana"/>
          <w:i/>
          <w:color w:val="0070C0"/>
          <w:sz w:val="20"/>
          <w:szCs w:val="20"/>
        </w:rPr>
        <w:t xml:space="preserve">Oui = matière acceptable pour la qualité considérée. </w:t>
      </w:r>
    </w:p>
    <w:p w:rsidR="00DF16CF" w:rsidRPr="00D31433" w:rsidRDefault="00DF16CF" w:rsidP="00F82905">
      <w:pPr>
        <w:jc w:val="both"/>
        <w:rPr>
          <w:rFonts w:ascii="Verdana" w:hAnsi="Verdana"/>
          <w:i/>
          <w:color w:val="0070C0"/>
          <w:sz w:val="20"/>
          <w:szCs w:val="20"/>
        </w:rPr>
      </w:pPr>
      <w:r w:rsidRPr="00D31433">
        <w:rPr>
          <w:rFonts w:ascii="Verdana" w:hAnsi="Verdana"/>
          <w:i/>
          <w:color w:val="0070C0"/>
          <w:sz w:val="20"/>
          <w:szCs w:val="20"/>
        </w:rPr>
        <w:t>Non = matière rejetée pour la qualité considérée.</w:t>
      </w:r>
    </w:p>
    <w:p w:rsidR="00DF16CF" w:rsidRPr="00DF16CF" w:rsidRDefault="00DF16CF" w:rsidP="00F82905">
      <w:pPr>
        <w:jc w:val="both"/>
        <w:rPr>
          <w:rFonts w:ascii="Verdana" w:hAnsi="Verdana"/>
          <w:sz w:val="20"/>
          <w:szCs w:val="20"/>
        </w:rPr>
      </w:pPr>
    </w:p>
    <w:p w:rsidR="006D14E9" w:rsidRDefault="006D14E9" w:rsidP="00F8290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l’issue du traitement, le</w:t>
      </w:r>
      <w:r w:rsidR="00D65F26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 xml:space="preserve"> </w:t>
      </w:r>
      <w:r w:rsidR="009264DB">
        <w:rPr>
          <w:rFonts w:ascii="Verdana" w:hAnsi="Verdana"/>
          <w:sz w:val="20"/>
          <w:szCs w:val="20"/>
        </w:rPr>
        <w:t>chutes massives doivent être sè</w:t>
      </w:r>
      <w:r>
        <w:rPr>
          <w:rFonts w:ascii="Verdana" w:hAnsi="Verdana"/>
          <w:sz w:val="20"/>
          <w:szCs w:val="20"/>
        </w:rPr>
        <w:t>c</w:t>
      </w:r>
      <w:r w:rsidR="009264DB">
        <w:rPr>
          <w:rFonts w:ascii="Verdana" w:hAnsi="Verdana"/>
          <w:sz w:val="20"/>
          <w:szCs w:val="20"/>
        </w:rPr>
        <w:t>he</w:t>
      </w:r>
      <w:r>
        <w:rPr>
          <w:rFonts w:ascii="Verdana" w:hAnsi="Verdana"/>
          <w:sz w:val="20"/>
          <w:szCs w:val="20"/>
        </w:rPr>
        <w:t>s et exempt</w:t>
      </w:r>
      <w:r w:rsidR="009264DB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s de toutes matières étrangères aux c</w:t>
      </w:r>
      <w:r w:rsidR="009264DB">
        <w:rPr>
          <w:rFonts w:ascii="Verdana" w:hAnsi="Verdana"/>
          <w:sz w:val="20"/>
          <w:szCs w:val="20"/>
        </w:rPr>
        <w:t>hutes</w:t>
      </w:r>
      <w:r>
        <w:rPr>
          <w:rFonts w:ascii="Verdana" w:hAnsi="Verdana"/>
          <w:sz w:val="20"/>
          <w:szCs w:val="20"/>
        </w:rPr>
        <w:t xml:space="preserve"> (bois, plastiques, papiers, huile, graisse, lubrifiant, humidité, grenailles d’acier, matériaux réfractaires, particules métalliques à haut point de fusion et de densité supérieure ou égale à 5, peinture, adhésifs…</w:t>
      </w:r>
      <w:r w:rsidR="004D017B" w:rsidRPr="004D017B">
        <w:rPr>
          <w:rFonts w:ascii="Verdana" w:hAnsi="Verdana"/>
          <w:sz w:val="20"/>
        </w:rPr>
        <w:t xml:space="preserve"> </w:t>
      </w:r>
      <w:r w:rsidR="004D017B">
        <w:rPr>
          <w:rFonts w:ascii="Verdana" w:hAnsi="Verdana"/>
          <w:sz w:val="20"/>
        </w:rPr>
        <w:t>- Annexe 2</w:t>
      </w:r>
      <w:r w:rsidR="004D017B" w:rsidRPr="00E91C34">
        <w:rPr>
          <w:rFonts w:ascii="Verdana" w:hAnsi="Verdana"/>
          <w:sz w:val="20"/>
        </w:rPr>
        <w:t xml:space="preserve"> : Liste des matériaux interdits pouvant entrer en contact avec les </w:t>
      </w:r>
      <w:r w:rsidR="004D017B">
        <w:rPr>
          <w:rFonts w:ascii="Verdana" w:hAnsi="Verdana"/>
          <w:sz w:val="20"/>
        </w:rPr>
        <w:t>chutes massives</w:t>
      </w:r>
      <w:r w:rsidR="004D017B">
        <w:rPr>
          <w:rFonts w:ascii="Verdana" w:hAnsi="Verdana"/>
          <w:sz w:val="20"/>
        </w:rPr>
        <w:t xml:space="preserve"> lors du traitement</w:t>
      </w:r>
      <w:r>
        <w:rPr>
          <w:rFonts w:ascii="Verdana" w:hAnsi="Verdana"/>
          <w:sz w:val="20"/>
          <w:szCs w:val="20"/>
        </w:rPr>
        <w:t>)</w:t>
      </w:r>
      <w:r w:rsidR="00D65F26">
        <w:rPr>
          <w:rFonts w:ascii="Verdana" w:hAnsi="Verdana"/>
          <w:sz w:val="20"/>
          <w:szCs w:val="20"/>
        </w:rPr>
        <w:t xml:space="preserve"> et des matières interdites dans le tableau ci-dessus</w:t>
      </w:r>
      <w:r>
        <w:rPr>
          <w:rFonts w:ascii="Verdana" w:hAnsi="Verdana"/>
          <w:sz w:val="20"/>
          <w:szCs w:val="20"/>
        </w:rPr>
        <w:t xml:space="preserve">. </w:t>
      </w:r>
    </w:p>
    <w:p w:rsidR="006D14E9" w:rsidRDefault="00D65F26" w:rsidP="00F8290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Le lot de chutes massives devra être homogène en taille, forme et composition chimique. </w:t>
      </w:r>
    </w:p>
    <w:p w:rsidR="00D65F26" w:rsidRDefault="00D65F26" w:rsidP="00F82905">
      <w:pPr>
        <w:jc w:val="both"/>
        <w:rPr>
          <w:rFonts w:ascii="Verdana" w:hAnsi="Verdana"/>
          <w:sz w:val="20"/>
          <w:szCs w:val="20"/>
        </w:rPr>
      </w:pPr>
    </w:p>
    <w:p w:rsidR="006E363E" w:rsidRDefault="006E363E" w:rsidP="006E363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Plusieurs lots de </w:t>
      </w:r>
      <w:r w:rsidR="009264DB">
        <w:rPr>
          <w:rFonts w:ascii="Verdana" w:hAnsi="Verdana"/>
          <w:sz w:val="20"/>
          <w:szCs w:val="20"/>
        </w:rPr>
        <w:t>chutes</w:t>
      </w:r>
      <w:r>
        <w:rPr>
          <w:rFonts w:ascii="Verdana" w:hAnsi="Verdana"/>
          <w:sz w:val="20"/>
          <w:szCs w:val="20"/>
        </w:rPr>
        <w:t xml:space="preserve"> pourront être mélangés si certaines exigences sont satisfaites </w:t>
      </w:r>
      <w:r w:rsidR="002E18A3">
        <w:rPr>
          <w:rFonts w:ascii="Verdana" w:hAnsi="Verdana"/>
          <w:sz w:val="20"/>
          <w:szCs w:val="20"/>
        </w:rPr>
        <w:t>(Annexe 1 : gestion des lots de chutes)</w:t>
      </w:r>
      <w:r>
        <w:rPr>
          <w:rFonts w:ascii="Verdana" w:hAnsi="Verdana"/>
          <w:sz w:val="20"/>
          <w:szCs w:val="20"/>
        </w:rPr>
        <w:t>:</w:t>
      </w:r>
    </w:p>
    <w:p w:rsidR="006E363E" w:rsidRDefault="00935E3B" w:rsidP="006E363E">
      <w:pPr>
        <w:pStyle w:val="Paragraphedeliste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  <w:r w:rsidR="006E363E">
        <w:rPr>
          <w:rFonts w:ascii="Verdana" w:hAnsi="Verdana"/>
          <w:sz w:val="20"/>
          <w:szCs w:val="20"/>
        </w:rPr>
        <w:t>nalyse chimique</w:t>
      </w:r>
      <w:r>
        <w:rPr>
          <w:rFonts w:ascii="Verdana" w:hAnsi="Verdana"/>
          <w:sz w:val="20"/>
          <w:szCs w:val="20"/>
        </w:rPr>
        <w:t xml:space="preserve"> similaire</w:t>
      </w:r>
      <w:r w:rsidR="006E363E">
        <w:rPr>
          <w:rFonts w:ascii="Verdana" w:hAnsi="Verdana"/>
          <w:sz w:val="20"/>
          <w:szCs w:val="20"/>
        </w:rPr>
        <w:t>,</w:t>
      </w:r>
    </w:p>
    <w:p w:rsidR="006E363E" w:rsidRDefault="006E363E" w:rsidP="006E363E">
      <w:pPr>
        <w:pStyle w:val="Paragraphedeliste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Conformité des différents lots à mélanger</w:t>
      </w:r>
      <w:r w:rsidR="00E25B5A">
        <w:rPr>
          <w:rFonts w:ascii="Verdana" w:hAnsi="Verdana"/>
          <w:sz w:val="20"/>
          <w:szCs w:val="20"/>
        </w:rPr>
        <w:t xml:space="preserve"> vis-à-vis des exigences d’EcoTitanium</w:t>
      </w:r>
      <w:r>
        <w:rPr>
          <w:rFonts w:ascii="Verdana" w:hAnsi="Verdana"/>
          <w:sz w:val="20"/>
          <w:szCs w:val="20"/>
        </w:rPr>
        <w:t>,</w:t>
      </w:r>
    </w:p>
    <w:p w:rsidR="006E363E" w:rsidRDefault="006E363E" w:rsidP="006E363E">
      <w:pPr>
        <w:pStyle w:val="Paragraphedeliste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Taille des lots inférieure au minimum requis par </w:t>
      </w:r>
      <w:proofErr w:type="spellStart"/>
      <w:r w:rsidR="009264DB">
        <w:rPr>
          <w:rFonts w:ascii="Verdana" w:hAnsi="Verdana"/>
          <w:sz w:val="20"/>
          <w:szCs w:val="20"/>
        </w:rPr>
        <w:t>EcoTitanium</w:t>
      </w:r>
      <w:proofErr w:type="spellEnd"/>
      <w:r>
        <w:rPr>
          <w:rFonts w:ascii="Verdana" w:hAnsi="Verdana"/>
          <w:sz w:val="20"/>
          <w:szCs w:val="20"/>
        </w:rPr>
        <w:t>…</w:t>
      </w:r>
    </w:p>
    <w:p w:rsidR="006E363E" w:rsidRPr="006E363E" w:rsidRDefault="006E363E" w:rsidP="006E363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Le mélange de plusieurs lots devra, dans tous les cas, être validé par EcoTitanium. </w:t>
      </w:r>
    </w:p>
    <w:p w:rsidR="008D299D" w:rsidRDefault="008D299D" w:rsidP="008D299D">
      <w:pPr>
        <w:jc w:val="both"/>
        <w:rPr>
          <w:rFonts w:ascii="Verdana" w:hAnsi="Verdana"/>
          <w:sz w:val="20"/>
          <w:szCs w:val="20"/>
        </w:rPr>
      </w:pPr>
    </w:p>
    <w:p w:rsidR="008D299D" w:rsidRPr="009731AA" w:rsidRDefault="008D299D" w:rsidP="008D299D">
      <w:pPr>
        <w:jc w:val="both"/>
        <w:rPr>
          <w:rFonts w:ascii="Verdana" w:hAnsi="Verdana"/>
          <w:sz w:val="20"/>
          <w:szCs w:val="20"/>
        </w:rPr>
      </w:pPr>
      <w:r w:rsidRPr="009731AA">
        <w:rPr>
          <w:rFonts w:ascii="Verdana" w:hAnsi="Verdana"/>
          <w:sz w:val="20"/>
          <w:szCs w:val="20"/>
        </w:rPr>
        <w:t>Tout lot déjà constitué</w:t>
      </w:r>
      <w:r>
        <w:rPr>
          <w:rFonts w:ascii="Verdana" w:hAnsi="Verdana"/>
          <w:sz w:val="20"/>
          <w:szCs w:val="20"/>
        </w:rPr>
        <w:t xml:space="preserve"> doit conserver sa traçabilité.</w:t>
      </w:r>
    </w:p>
    <w:p w:rsidR="006E363E" w:rsidRDefault="006E363E" w:rsidP="00F82905">
      <w:pPr>
        <w:jc w:val="both"/>
        <w:rPr>
          <w:rFonts w:ascii="Verdana" w:hAnsi="Verdana"/>
          <w:sz w:val="20"/>
          <w:szCs w:val="20"/>
        </w:rPr>
      </w:pPr>
    </w:p>
    <w:p w:rsidR="005B12DD" w:rsidRDefault="005B12DD" w:rsidP="00F82905">
      <w:pPr>
        <w:jc w:val="both"/>
        <w:rPr>
          <w:rFonts w:ascii="Verdana" w:hAnsi="Verdana"/>
          <w:sz w:val="20"/>
        </w:rPr>
      </w:pPr>
      <w:r w:rsidRPr="009649BF">
        <w:rPr>
          <w:rFonts w:ascii="Verdana" w:hAnsi="Verdana"/>
          <w:sz w:val="20"/>
        </w:rPr>
        <w:lastRenderedPageBreak/>
        <w:t xml:space="preserve">Le </w:t>
      </w:r>
      <w:r>
        <w:rPr>
          <w:rFonts w:ascii="Verdana" w:hAnsi="Verdana"/>
          <w:sz w:val="20"/>
        </w:rPr>
        <w:t>processeur</w:t>
      </w:r>
      <w:r w:rsidRPr="009649BF">
        <w:rPr>
          <w:rFonts w:ascii="Verdana" w:hAnsi="Verdana"/>
          <w:sz w:val="20"/>
        </w:rPr>
        <w:t xml:space="preserve"> de </w:t>
      </w:r>
      <w:r w:rsidR="009264DB">
        <w:rPr>
          <w:rFonts w:ascii="Verdana" w:hAnsi="Verdana"/>
          <w:sz w:val="20"/>
        </w:rPr>
        <w:t>chutes</w:t>
      </w:r>
      <w:r w:rsidRPr="009649BF">
        <w:rPr>
          <w:rFonts w:ascii="Verdana" w:hAnsi="Verdana"/>
          <w:sz w:val="20"/>
        </w:rPr>
        <w:t xml:space="preserve"> doit, à n’importe quelle étape </w:t>
      </w:r>
      <w:r>
        <w:rPr>
          <w:rFonts w:ascii="Verdana" w:hAnsi="Verdana"/>
          <w:sz w:val="20"/>
        </w:rPr>
        <w:t>du process</w:t>
      </w:r>
      <w:r w:rsidRPr="009649BF">
        <w:rPr>
          <w:rFonts w:ascii="Verdana" w:hAnsi="Verdana"/>
          <w:sz w:val="20"/>
        </w:rPr>
        <w:t xml:space="preserve">, pouvoir apporter les éléments de preuves garantissant le respect des exigences spécifiées dans ce cahier des charges. </w:t>
      </w:r>
    </w:p>
    <w:p w:rsidR="009731AA" w:rsidRDefault="009731AA" w:rsidP="00D34C78">
      <w:pPr>
        <w:rPr>
          <w:rFonts w:ascii="Verdana" w:hAnsi="Verdana"/>
          <w:sz w:val="20"/>
          <w:szCs w:val="20"/>
        </w:rPr>
      </w:pPr>
    </w:p>
    <w:p w:rsidR="006F4551" w:rsidRPr="00525BDE" w:rsidRDefault="00A3482E" w:rsidP="005B12DD">
      <w:pPr>
        <w:pStyle w:val="Sous-titre"/>
        <w:numPr>
          <w:ilvl w:val="0"/>
          <w:numId w:val="18"/>
        </w:numPr>
      </w:pPr>
      <w:r>
        <w:t>Exigences particulières</w:t>
      </w:r>
    </w:p>
    <w:p w:rsidR="008219CD" w:rsidRPr="004C44CB" w:rsidRDefault="008219CD" w:rsidP="00F80B3B">
      <w:pPr>
        <w:jc w:val="both"/>
        <w:rPr>
          <w:rFonts w:ascii="Verdana" w:hAnsi="Verdana"/>
          <w:sz w:val="20"/>
        </w:rPr>
      </w:pPr>
    </w:p>
    <w:p w:rsidR="0059738E" w:rsidRDefault="00FE6984" w:rsidP="00703134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Les équipements utilisés pour </w:t>
      </w:r>
      <w:r w:rsidR="00135852">
        <w:rPr>
          <w:rFonts w:ascii="Verdana" w:hAnsi="Verdana"/>
          <w:sz w:val="20"/>
        </w:rPr>
        <w:t>traiter</w:t>
      </w:r>
      <w:r>
        <w:rPr>
          <w:rFonts w:ascii="Verdana" w:hAnsi="Verdana"/>
          <w:sz w:val="20"/>
        </w:rPr>
        <w:t xml:space="preserve"> les </w:t>
      </w:r>
      <w:r w:rsidR="00AD707F">
        <w:rPr>
          <w:rFonts w:ascii="Verdana" w:hAnsi="Verdana"/>
          <w:sz w:val="20"/>
        </w:rPr>
        <w:t>chutes</w:t>
      </w:r>
      <w:r>
        <w:rPr>
          <w:rFonts w:ascii="Verdana" w:hAnsi="Verdana"/>
          <w:sz w:val="20"/>
        </w:rPr>
        <w:t xml:space="preserve"> </w:t>
      </w:r>
      <w:r w:rsidR="00A3482E">
        <w:rPr>
          <w:rFonts w:ascii="Verdana" w:hAnsi="Verdana"/>
          <w:sz w:val="20"/>
        </w:rPr>
        <w:t>d</w:t>
      </w:r>
      <w:r w:rsidR="00E96DCC">
        <w:rPr>
          <w:rFonts w:ascii="Verdana" w:hAnsi="Verdana"/>
          <w:sz w:val="20"/>
        </w:rPr>
        <w:t>’alliages de</w:t>
      </w:r>
      <w:r w:rsidR="00A3482E">
        <w:rPr>
          <w:rFonts w:ascii="Verdana" w:hAnsi="Verdana"/>
          <w:sz w:val="20"/>
        </w:rPr>
        <w:t xml:space="preserve"> Titane </w:t>
      </w:r>
      <w:r>
        <w:rPr>
          <w:rFonts w:ascii="Verdana" w:hAnsi="Verdana"/>
          <w:sz w:val="20"/>
        </w:rPr>
        <w:t xml:space="preserve">devront être </w:t>
      </w:r>
      <w:r w:rsidR="00135852">
        <w:rPr>
          <w:rFonts w:ascii="Verdana" w:hAnsi="Verdana"/>
          <w:sz w:val="20"/>
        </w:rPr>
        <w:t xml:space="preserve">dédiés à leur seul traitement et </w:t>
      </w:r>
      <w:r>
        <w:rPr>
          <w:rFonts w:ascii="Verdana" w:hAnsi="Verdana"/>
          <w:sz w:val="20"/>
        </w:rPr>
        <w:t>nettoyés lors d’un changement de nuance ou grade.</w:t>
      </w:r>
      <w:r w:rsidR="0059738E">
        <w:rPr>
          <w:rFonts w:ascii="Verdana" w:hAnsi="Verdana"/>
          <w:sz w:val="20"/>
        </w:rPr>
        <w:t xml:space="preserve"> </w:t>
      </w:r>
    </w:p>
    <w:p w:rsidR="00161B32" w:rsidRDefault="00161B32" w:rsidP="00703134">
      <w:pPr>
        <w:jc w:val="both"/>
        <w:rPr>
          <w:rFonts w:ascii="Verdana" w:hAnsi="Verdana"/>
          <w:sz w:val="20"/>
        </w:rPr>
      </w:pPr>
    </w:p>
    <w:p w:rsidR="00135852" w:rsidRPr="00135852" w:rsidRDefault="00AD707F" w:rsidP="00135852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Les équipements</w:t>
      </w:r>
      <w:r w:rsidR="00135852" w:rsidRPr="00135852">
        <w:rPr>
          <w:rFonts w:ascii="Verdana" w:hAnsi="Verdana"/>
          <w:sz w:val="20"/>
        </w:rPr>
        <w:t xml:space="preserve"> ne devr</w:t>
      </w:r>
      <w:r>
        <w:rPr>
          <w:rFonts w:ascii="Verdana" w:hAnsi="Verdana"/>
          <w:sz w:val="20"/>
        </w:rPr>
        <w:t>ont</w:t>
      </w:r>
      <w:r w:rsidR="00135852" w:rsidRPr="00135852">
        <w:rPr>
          <w:rFonts w:ascii="Verdana" w:hAnsi="Verdana"/>
          <w:sz w:val="20"/>
        </w:rPr>
        <w:t xml:space="preserve"> pas comporter de soudures TIG suscepti</w:t>
      </w:r>
      <w:r>
        <w:rPr>
          <w:rFonts w:ascii="Verdana" w:hAnsi="Verdana"/>
          <w:sz w:val="20"/>
        </w:rPr>
        <w:t>bles de contaminer les chutes.</w:t>
      </w:r>
    </w:p>
    <w:p w:rsidR="00135852" w:rsidRPr="00135852" w:rsidRDefault="00135852" w:rsidP="00135852">
      <w:pPr>
        <w:jc w:val="both"/>
        <w:rPr>
          <w:rFonts w:ascii="Verdana" w:hAnsi="Verdana"/>
          <w:sz w:val="20"/>
        </w:rPr>
      </w:pPr>
      <w:r w:rsidRPr="00135852">
        <w:rPr>
          <w:rFonts w:ascii="Verdana" w:hAnsi="Verdana"/>
          <w:sz w:val="20"/>
        </w:rPr>
        <w:t xml:space="preserve">Dans le cas où il est nécessaire de réaliser une soudure TIG à proximité ou sur un équipement </w:t>
      </w:r>
      <w:r w:rsidR="00AD707F">
        <w:rPr>
          <w:rFonts w:ascii="Verdana" w:hAnsi="Verdana"/>
          <w:sz w:val="20"/>
        </w:rPr>
        <w:t>utilisé pour le traitement des chutes</w:t>
      </w:r>
      <w:r w:rsidRPr="00135852">
        <w:rPr>
          <w:rFonts w:ascii="Verdana" w:hAnsi="Verdana"/>
          <w:sz w:val="20"/>
        </w:rPr>
        <w:t xml:space="preserve"> en Titane, une protection contre la contamination par les projections de soudure devra être mise en place. A l’issue de l’opération de soudage, les soudures devront être soigneusement nettoyées et inspectées</w:t>
      </w:r>
      <w:r w:rsidR="000240B9">
        <w:rPr>
          <w:rFonts w:ascii="Verdana" w:hAnsi="Verdana"/>
          <w:sz w:val="20"/>
        </w:rPr>
        <w:t xml:space="preserve"> </w:t>
      </w:r>
      <w:r w:rsidR="000240B9">
        <w:rPr>
          <w:rFonts w:ascii="Verdana" w:hAnsi="Verdana"/>
          <w:sz w:val="20"/>
        </w:rPr>
        <w:t>(au minimum inspection par RX)</w:t>
      </w:r>
      <w:r w:rsidR="000240B9" w:rsidRPr="00135852">
        <w:rPr>
          <w:rFonts w:ascii="Verdana" w:hAnsi="Verdana"/>
          <w:sz w:val="20"/>
        </w:rPr>
        <w:t>.</w:t>
      </w:r>
      <w:r w:rsidRPr="00135852">
        <w:rPr>
          <w:rFonts w:ascii="Verdana" w:hAnsi="Verdana"/>
          <w:sz w:val="20"/>
        </w:rPr>
        <w:t xml:space="preserve"> </w:t>
      </w:r>
    </w:p>
    <w:p w:rsidR="007109DF" w:rsidRDefault="007109DF" w:rsidP="007158F5">
      <w:pPr>
        <w:jc w:val="both"/>
        <w:rPr>
          <w:rFonts w:ascii="Verdana" w:hAnsi="Verdana"/>
          <w:sz w:val="20"/>
        </w:rPr>
      </w:pPr>
    </w:p>
    <w:p w:rsidR="00774881" w:rsidRDefault="00774881" w:rsidP="00774881">
      <w:pPr>
        <w:pStyle w:val="Sous-titre"/>
        <w:numPr>
          <w:ilvl w:val="0"/>
          <w:numId w:val="18"/>
        </w:numPr>
      </w:pPr>
      <w:r>
        <w:t>Compositions chimiques</w:t>
      </w:r>
    </w:p>
    <w:p w:rsidR="00774881" w:rsidRDefault="00774881" w:rsidP="00774881">
      <w:pPr>
        <w:rPr>
          <w:rFonts w:ascii="Verdana" w:hAnsi="Verdana"/>
          <w:sz w:val="20"/>
        </w:rPr>
      </w:pPr>
    </w:p>
    <w:tbl>
      <w:tblPr>
        <w:tblW w:w="9421" w:type="dxa"/>
        <w:jc w:val="center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111"/>
        <w:gridCol w:w="1111"/>
        <w:gridCol w:w="1111"/>
        <w:gridCol w:w="1111"/>
        <w:gridCol w:w="1113"/>
        <w:gridCol w:w="1264"/>
        <w:gridCol w:w="1190"/>
      </w:tblGrid>
      <w:tr w:rsidR="00774881" w:rsidRPr="00253575" w:rsidTr="00114EF9">
        <w:trPr>
          <w:jc w:val="center"/>
        </w:trPr>
        <w:tc>
          <w:tcPr>
            <w:tcW w:w="1410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Grades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Fe, max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O, max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C, max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N, max</w:t>
            </w:r>
          </w:p>
        </w:tc>
        <w:tc>
          <w:tcPr>
            <w:tcW w:w="1113" w:type="dxa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H, max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Al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V</w:t>
            </w:r>
          </w:p>
        </w:tc>
      </w:tr>
      <w:tr w:rsidR="00774881" w:rsidRPr="00253575" w:rsidTr="00114EF9">
        <w:trPr>
          <w:jc w:val="center"/>
        </w:trPr>
        <w:tc>
          <w:tcPr>
            <w:tcW w:w="1410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TA6V (</w:t>
            </w:r>
            <w:r w:rsidRPr="00253575">
              <w:rPr>
                <w:rFonts w:ascii="Verdana" w:hAnsi="Verdana"/>
                <w:sz w:val="20"/>
              </w:rPr>
              <w:t>Grade 5 standard</w:t>
            </w:r>
            <w:r>
              <w:rPr>
                <w:rFonts w:ascii="Verdana" w:hAnsi="Verdana"/>
                <w:sz w:val="20"/>
              </w:rPr>
              <w:t>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0.30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0.20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0.08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0.03</w:t>
            </w:r>
          </w:p>
        </w:tc>
        <w:tc>
          <w:tcPr>
            <w:tcW w:w="1113" w:type="dxa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0.015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5.50-6.75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3.50-4.50</w:t>
            </w:r>
          </w:p>
        </w:tc>
      </w:tr>
      <w:tr w:rsidR="00774881" w:rsidRPr="00253575" w:rsidTr="00114EF9">
        <w:trPr>
          <w:jc w:val="center"/>
        </w:trPr>
        <w:tc>
          <w:tcPr>
            <w:tcW w:w="1410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TA6V (</w:t>
            </w:r>
            <w:r w:rsidRPr="00253575">
              <w:rPr>
                <w:rFonts w:ascii="Verdana" w:hAnsi="Verdana"/>
                <w:sz w:val="20"/>
              </w:rPr>
              <w:t>Grade 5 haut O</w:t>
            </w:r>
            <w:r>
              <w:rPr>
                <w:rFonts w:ascii="Verdana" w:hAnsi="Verdana"/>
                <w:sz w:val="20"/>
              </w:rPr>
              <w:t>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0.30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0.22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0.08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0.03</w:t>
            </w:r>
          </w:p>
        </w:tc>
        <w:tc>
          <w:tcPr>
            <w:tcW w:w="1113" w:type="dxa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0.015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5.50-6.75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3.50-4.50</w:t>
            </w:r>
          </w:p>
        </w:tc>
      </w:tr>
      <w:tr w:rsidR="00774881" w:rsidRPr="00253575" w:rsidTr="00114EF9">
        <w:trPr>
          <w:jc w:val="center"/>
        </w:trPr>
        <w:tc>
          <w:tcPr>
            <w:tcW w:w="1410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TA6V ELI (</w:t>
            </w:r>
            <w:r w:rsidRPr="00253575">
              <w:rPr>
                <w:rFonts w:ascii="Verdana" w:hAnsi="Verdana"/>
                <w:sz w:val="20"/>
              </w:rPr>
              <w:t>Grade 23</w:t>
            </w:r>
            <w:r>
              <w:rPr>
                <w:rFonts w:ascii="Verdana" w:hAnsi="Verdana"/>
                <w:sz w:val="20"/>
              </w:rPr>
              <w:t>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0.25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0.13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0.08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0.03</w:t>
            </w:r>
          </w:p>
        </w:tc>
        <w:tc>
          <w:tcPr>
            <w:tcW w:w="1113" w:type="dxa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0.012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5.50-6.30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3.50-4.50</w:t>
            </w:r>
          </w:p>
        </w:tc>
      </w:tr>
      <w:tr w:rsidR="00A67D15" w:rsidRPr="00253575" w:rsidTr="00114EF9">
        <w:trPr>
          <w:jc w:val="center"/>
        </w:trPr>
        <w:tc>
          <w:tcPr>
            <w:tcW w:w="1410" w:type="dxa"/>
            <w:shd w:val="clear" w:color="auto" w:fill="auto"/>
            <w:vAlign w:val="center"/>
          </w:tcPr>
          <w:p w:rsidR="00A67D15" w:rsidRPr="00253575" w:rsidRDefault="00A67D15" w:rsidP="005157F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Ti 1023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A67D15" w:rsidRPr="00253575" w:rsidRDefault="00A67D15" w:rsidP="005157F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1.80-2.20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A67D15" w:rsidRPr="00253575" w:rsidRDefault="00A67D15" w:rsidP="005157F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0.13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A67D15" w:rsidRPr="00253575" w:rsidRDefault="00A67D15" w:rsidP="005157F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0.050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A67D15" w:rsidRPr="00253575" w:rsidRDefault="00A67D15" w:rsidP="005157F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0.050</w:t>
            </w:r>
          </w:p>
        </w:tc>
        <w:tc>
          <w:tcPr>
            <w:tcW w:w="1113" w:type="dxa"/>
            <w:vAlign w:val="center"/>
          </w:tcPr>
          <w:p w:rsidR="00A67D15" w:rsidRPr="00253575" w:rsidRDefault="00A67D15" w:rsidP="005157F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0.015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67D15" w:rsidRPr="00253575" w:rsidRDefault="00A67D15" w:rsidP="005157F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2.60-3.40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67D15" w:rsidRPr="00253575" w:rsidRDefault="00A67D15" w:rsidP="005157F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9.00-11.00</w:t>
            </w:r>
          </w:p>
        </w:tc>
      </w:tr>
    </w:tbl>
    <w:p w:rsidR="00774881" w:rsidRDefault="00774881" w:rsidP="00774881">
      <w:pPr>
        <w:rPr>
          <w:rFonts w:ascii="Verdana" w:hAnsi="Verdana"/>
          <w:sz w:val="20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003"/>
        <w:gridCol w:w="793"/>
        <w:gridCol w:w="794"/>
        <w:gridCol w:w="794"/>
        <w:gridCol w:w="793"/>
        <w:gridCol w:w="794"/>
        <w:gridCol w:w="794"/>
        <w:gridCol w:w="793"/>
        <w:gridCol w:w="794"/>
        <w:gridCol w:w="794"/>
        <w:gridCol w:w="794"/>
      </w:tblGrid>
      <w:tr w:rsidR="00774881" w:rsidTr="00A67D15">
        <w:tc>
          <w:tcPr>
            <w:tcW w:w="1003" w:type="dxa"/>
            <w:vAlign w:val="center"/>
          </w:tcPr>
          <w:p w:rsidR="00774881" w:rsidRPr="00253575" w:rsidRDefault="00774881" w:rsidP="00A67D15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Grade</w:t>
            </w:r>
          </w:p>
        </w:tc>
        <w:tc>
          <w:tcPr>
            <w:tcW w:w="793" w:type="dxa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Fe</w:t>
            </w:r>
          </w:p>
        </w:tc>
        <w:tc>
          <w:tcPr>
            <w:tcW w:w="794" w:type="dxa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O, max</w:t>
            </w:r>
          </w:p>
        </w:tc>
        <w:tc>
          <w:tcPr>
            <w:tcW w:w="794" w:type="dxa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C, max</w:t>
            </w:r>
          </w:p>
        </w:tc>
        <w:tc>
          <w:tcPr>
            <w:tcW w:w="793" w:type="dxa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N, max</w:t>
            </w:r>
          </w:p>
        </w:tc>
        <w:tc>
          <w:tcPr>
            <w:tcW w:w="794" w:type="dxa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H, max</w:t>
            </w:r>
          </w:p>
        </w:tc>
        <w:tc>
          <w:tcPr>
            <w:tcW w:w="794" w:type="dxa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Al</w:t>
            </w:r>
          </w:p>
        </w:tc>
        <w:tc>
          <w:tcPr>
            <w:tcW w:w="793" w:type="dxa"/>
            <w:vAlign w:val="center"/>
          </w:tcPr>
          <w:p w:rsidR="00774881" w:rsidRPr="00253575" w:rsidRDefault="00774881" w:rsidP="00114EF9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V</w:t>
            </w:r>
          </w:p>
        </w:tc>
        <w:tc>
          <w:tcPr>
            <w:tcW w:w="794" w:type="dxa"/>
            <w:vAlign w:val="center"/>
          </w:tcPr>
          <w:p w:rsidR="00774881" w:rsidRPr="00881133" w:rsidRDefault="00774881" w:rsidP="00114EF9">
            <w:pPr>
              <w:jc w:val="center"/>
              <w:rPr>
                <w:rFonts w:ascii="Verdana" w:hAnsi="Verdana"/>
                <w:b/>
                <w:sz w:val="20"/>
              </w:rPr>
            </w:pPr>
            <w:r w:rsidRPr="00881133">
              <w:rPr>
                <w:rFonts w:ascii="Verdana" w:hAnsi="Verdana"/>
                <w:b/>
                <w:sz w:val="20"/>
              </w:rPr>
              <w:t>Mo</w:t>
            </w:r>
          </w:p>
        </w:tc>
        <w:tc>
          <w:tcPr>
            <w:tcW w:w="794" w:type="dxa"/>
            <w:vAlign w:val="center"/>
          </w:tcPr>
          <w:p w:rsidR="00774881" w:rsidRPr="00881133" w:rsidRDefault="00774881" w:rsidP="00114EF9">
            <w:pPr>
              <w:jc w:val="center"/>
              <w:rPr>
                <w:rFonts w:ascii="Verdana" w:hAnsi="Verdana"/>
                <w:b/>
                <w:sz w:val="20"/>
              </w:rPr>
            </w:pPr>
            <w:r w:rsidRPr="00881133">
              <w:rPr>
                <w:rFonts w:ascii="Verdana" w:hAnsi="Verdana"/>
                <w:b/>
                <w:sz w:val="20"/>
              </w:rPr>
              <w:t>Cr</w:t>
            </w:r>
          </w:p>
        </w:tc>
        <w:tc>
          <w:tcPr>
            <w:tcW w:w="794" w:type="dxa"/>
            <w:vAlign w:val="center"/>
          </w:tcPr>
          <w:p w:rsidR="00774881" w:rsidRPr="00881133" w:rsidRDefault="00774881" w:rsidP="00114EF9">
            <w:pPr>
              <w:jc w:val="center"/>
              <w:rPr>
                <w:rFonts w:ascii="Verdana" w:hAnsi="Verdana"/>
                <w:b/>
                <w:sz w:val="20"/>
              </w:rPr>
            </w:pPr>
            <w:r w:rsidRPr="00881133">
              <w:rPr>
                <w:rFonts w:ascii="Verdana" w:hAnsi="Verdana"/>
                <w:b/>
                <w:sz w:val="20"/>
              </w:rPr>
              <w:t>Zr</w:t>
            </w:r>
            <w:r>
              <w:rPr>
                <w:rFonts w:ascii="Verdana" w:hAnsi="Verdana"/>
                <w:b/>
                <w:sz w:val="20"/>
              </w:rPr>
              <w:t>, max</w:t>
            </w:r>
          </w:p>
        </w:tc>
      </w:tr>
      <w:tr w:rsidR="00A67D15" w:rsidTr="00A67D15">
        <w:tc>
          <w:tcPr>
            <w:tcW w:w="1003" w:type="dxa"/>
            <w:vAlign w:val="center"/>
          </w:tcPr>
          <w:p w:rsidR="00A67D15" w:rsidRDefault="00A67D15" w:rsidP="005157F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Ti 5553</w:t>
            </w:r>
          </w:p>
        </w:tc>
        <w:tc>
          <w:tcPr>
            <w:tcW w:w="793" w:type="dxa"/>
            <w:vAlign w:val="center"/>
          </w:tcPr>
          <w:p w:rsidR="00A67D15" w:rsidRDefault="00A67D15" w:rsidP="005157F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0.30-0.50</w:t>
            </w:r>
          </w:p>
        </w:tc>
        <w:tc>
          <w:tcPr>
            <w:tcW w:w="794" w:type="dxa"/>
            <w:vAlign w:val="center"/>
          </w:tcPr>
          <w:p w:rsidR="00A67D15" w:rsidRDefault="00A67D15" w:rsidP="005157F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0.18</w:t>
            </w:r>
          </w:p>
        </w:tc>
        <w:tc>
          <w:tcPr>
            <w:tcW w:w="794" w:type="dxa"/>
            <w:vAlign w:val="center"/>
          </w:tcPr>
          <w:p w:rsidR="00A67D15" w:rsidRDefault="00A67D15" w:rsidP="005157F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0.100</w:t>
            </w:r>
          </w:p>
        </w:tc>
        <w:tc>
          <w:tcPr>
            <w:tcW w:w="793" w:type="dxa"/>
            <w:vAlign w:val="center"/>
          </w:tcPr>
          <w:p w:rsidR="00A67D15" w:rsidRDefault="00A67D15" w:rsidP="005157F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0.050</w:t>
            </w:r>
          </w:p>
        </w:tc>
        <w:tc>
          <w:tcPr>
            <w:tcW w:w="794" w:type="dxa"/>
            <w:vAlign w:val="center"/>
          </w:tcPr>
          <w:p w:rsidR="00A67D15" w:rsidRDefault="00A67D15" w:rsidP="005157F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0.015</w:t>
            </w:r>
          </w:p>
        </w:tc>
        <w:tc>
          <w:tcPr>
            <w:tcW w:w="794" w:type="dxa"/>
            <w:vAlign w:val="center"/>
          </w:tcPr>
          <w:p w:rsidR="00A67D15" w:rsidRDefault="00A67D15" w:rsidP="005157F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4.40-5.70</w:t>
            </w:r>
          </w:p>
        </w:tc>
        <w:tc>
          <w:tcPr>
            <w:tcW w:w="793" w:type="dxa"/>
            <w:vAlign w:val="center"/>
          </w:tcPr>
          <w:p w:rsidR="00A67D15" w:rsidRDefault="00A67D15" w:rsidP="005157F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4.00-5.50</w:t>
            </w:r>
          </w:p>
        </w:tc>
        <w:tc>
          <w:tcPr>
            <w:tcW w:w="794" w:type="dxa"/>
            <w:vAlign w:val="center"/>
          </w:tcPr>
          <w:p w:rsidR="00A67D15" w:rsidRDefault="00A67D15" w:rsidP="005157F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4.00-5.50</w:t>
            </w:r>
          </w:p>
        </w:tc>
        <w:tc>
          <w:tcPr>
            <w:tcW w:w="794" w:type="dxa"/>
            <w:vAlign w:val="center"/>
          </w:tcPr>
          <w:p w:rsidR="00A67D15" w:rsidRDefault="00A67D15" w:rsidP="005157F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2.50-3.50</w:t>
            </w:r>
          </w:p>
        </w:tc>
        <w:tc>
          <w:tcPr>
            <w:tcW w:w="794" w:type="dxa"/>
            <w:vAlign w:val="center"/>
          </w:tcPr>
          <w:p w:rsidR="00A67D15" w:rsidRDefault="00A67D15" w:rsidP="005157F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0.300</w:t>
            </w:r>
          </w:p>
        </w:tc>
      </w:tr>
    </w:tbl>
    <w:p w:rsidR="00FE29C9" w:rsidRDefault="00774881" w:rsidP="00774881">
      <w:pPr>
        <w:rPr>
          <w:rFonts w:ascii="Verdana" w:hAnsi="Verdana"/>
          <w:sz w:val="20"/>
        </w:rPr>
      </w:pPr>
      <w:r w:rsidRPr="00253575">
        <w:rPr>
          <w:rFonts w:ascii="Verdana" w:hAnsi="Verdana"/>
          <w:sz w:val="20"/>
        </w:rPr>
        <w:t>(Les valeurs indiquées dans le tableau ci-dessus sont exprimées en % en poids</w:t>
      </w:r>
      <w:r w:rsidR="00FE29C9">
        <w:rPr>
          <w:rFonts w:ascii="Verdana" w:hAnsi="Verdana"/>
          <w:sz w:val="20"/>
        </w:rPr>
        <w:t>.</w:t>
      </w:r>
    </w:p>
    <w:p w:rsidR="00774881" w:rsidRPr="00253575" w:rsidRDefault="00FE29C9" w:rsidP="0077488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Le reste est constitué uniquement de titane.</w:t>
      </w:r>
      <w:r w:rsidR="00774881" w:rsidRPr="00253575">
        <w:rPr>
          <w:rFonts w:ascii="Verdana" w:hAnsi="Verdana"/>
          <w:sz w:val="20"/>
        </w:rPr>
        <w:t xml:space="preserve">) </w:t>
      </w:r>
    </w:p>
    <w:p w:rsidR="00774881" w:rsidRDefault="00774881" w:rsidP="00774881">
      <w:pPr>
        <w:jc w:val="both"/>
        <w:rPr>
          <w:rFonts w:ascii="Verdana" w:hAnsi="Verdana"/>
          <w:sz w:val="20"/>
        </w:rPr>
      </w:pPr>
    </w:p>
    <w:p w:rsidR="006E0E78" w:rsidRDefault="006E0E78" w:rsidP="00F05BF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Un certificat de conformité sera </w:t>
      </w:r>
      <w:r w:rsidR="0057685F">
        <w:rPr>
          <w:rFonts w:ascii="Verdana" w:hAnsi="Verdana"/>
          <w:sz w:val="20"/>
          <w:szCs w:val="20"/>
        </w:rPr>
        <w:t>établi</w:t>
      </w:r>
      <w:r>
        <w:rPr>
          <w:rFonts w:ascii="Verdana" w:hAnsi="Verdana"/>
          <w:sz w:val="20"/>
          <w:szCs w:val="20"/>
        </w:rPr>
        <w:t xml:space="preserve"> à la fin du traitement. Il devra mentionner :</w:t>
      </w:r>
    </w:p>
    <w:p w:rsidR="006E0E78" w:rsidRDefault="006E0E78" w:rsidP="006E0E78">
      <w:pPr>
        <w:pStyle w:val="Paragraphedeliste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Les résultats des analyses chimiques effectuées sur les échantillons représentatifs du lot,</w:t>
      </w:r>
    </w:p>
    <w:p w:rsidR="0057685F" w:rsidRDefault="0057685F" w:rsidP="006E0E78">
      <w:pPr>
        <w:pStyle w:val="Paragraphedeliste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 conformité à la présente spécification,</w:t>
      </w:r>
    </w:p>
    <w:p w:rsidR="00F05BFE" w:rsidRPr="006E0E78" w:rsidRDefault="006E0E78" w:rsidP="00F05BFE">
      <w:pPr>
        <w:pStyle w:val="Paragraphedeliste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Des tests de radioactivité</w:t>
      </w:r>
      <w:r w:rsidR="00690255">
        <w:rPr>
          <w:rFonts w:ascii="Verdana" w:hAnsi="Verdana"/>
          <w:sz w:val="20"/>
          <w:szCs w:val="20"/>
        </w:rPr>
        <w:t xml:space="preserve"> </w:t>
      </w:r>
      <w:r w:rsidR="00690255">
        <w:rPr>
          <w:rFonts w:ascii="Verdana" w:hAnsi="Verdana"/>
          <w:sz w:val="20"/>
        </w:rPr>
        <w:t xml:space="preserve">(seuil de radioactivité pour matières premières accepté par </w:t>
      </w:r>
      <w:proofErr w:type="spellStart"/>
      <w:r w:rsidR="00690255">
        <w:rPr>
          <w:rFonts w:ascii="Verdana" w:hAnsi="Verdana"/>
          <w:sz w:val="20"/>
        </w:rPr>
        <w:t>EcoTitanium</w:t>
      </w:r>
      <w:proofErr w:type="spellEnd"/>
      <w:r w:rsidR="00690255">
        <w:rPr>
          <w:rFonts w:ascii="Verdana" w:hAnsi="Verdana"/>
          <w:sz w:val="20"/>
        </w:rPr>
        <w:t xml:space="preserve"> = 0.36 µSv/h)</w:t>
      </w:r>
      <w:r w:rsidR="0057685F">
        <w:rPr>
          <w:rFonts w:ascii="Verdana" w:hAnsi="Verdana"/>
          <w:sz w:val="20"/>
          <w:szCs w:val="20"/>
        </w:rPr>
        <w:t>.</w:t>
      </w:r>
    </w:p>
    <w:p w:rsidR="009E7114" w:rsidRPr="00676F69" w:rsidRDefault="009E7114" w:rsidP="00774881">
      <w:pPr>
        <w:jc w:val="both"/>
        <w:rPr>
          <w:rFonts w:ascii="Verdana" w:hAnsi="Verdana"/>
          <w:sz w:val="20"/>
        </w:rPr>
      </w:pPr>
    </w:p>
    <w:p w:rsidR="006F4551" w:rsidRPr="006A4A8F" w:rsidRDefault="00F80B3B" w:rsidP="005B12DD">
      <w:pPr>
        <w:pStyle w:val="Sous-titre"/>
        <w:numPr>
          <w:ilvl w:val="0"/>
          <w:numId w:val="18"/>
        </w:numPr>
      </w:pPr>
      <w:r w:rsidRPr="006A4A8F">
        <w:t>Conditionnement</w:t>
      </w:r>
    </w:p>
    <w:p w:rsidR="00703134" w:rsidRDefault="00703134" w:rsidP="00703134">
      <w:pPr>
        <w:jc w:val="both"/>
        <w:rPr>
          <w:rFonts w:ascii="Verdana" w:hAnsi="Verdana"/>
          <w:sz w:val="20"/>
        </w:rPr>
      </w:pPr>
    </w:p>
    <w:p w:rsidR="00233483" w:rsidRDefault="002A74EA" w:rsidP="00233483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Les contenants à utiliser seront</w:t>
      </w:r>
      <w:r w:rsidR="007A2968">
        <w:rPr>
          <w:rFonts w:ascii="Verdana" w:hAnsi="Verdana"/>
          <w:sz w:val="20"/>
        </w:rPr>
        <w:t xml:space="preserve"> des caisses </w:t>
      </w:r>
      <w:r w:rsidR="002D4278">
        <w:rPr>
          <w:rFonts w:ascii="Verdana" w:hAnsi="Verdana"/>
          <w:sz w:val="20"/>
        </w:rPr>
        <w:t>métalliques</w:t>
      </w:r>
      <w:r w:rsidR="007A2968">
        <w:rPr>
          <w:rFonts w:ascii="Verdana" w:hAnsi="Verdana"/>
          <w:sz w:val="20"/>
        </w:rPr>
        <w:t xml:space="preserve"> de 1.</w:t>
      </w:r>
      <w:r w:rsidR="002D4278">
        <w:rPr>
          <w:rFonts w:ascii="Verdana" w:hAnsi="Verdana"/>
          <w:sz w:val="20"/>
        </w:rPr>
        <w:t>2</w:t>
      </w:r>
      <w:r w:rsidR="007A2968">
        <w:rPr>
          <w:rFonts w:ascii="Verdana" w:hAnsi="Verdana"/>
          <w:sz w:val="20"/>
        </w:rPr>
        <w:t xml:space="preserve">0 m x </w:t>
      </w:r>
      <w:r w:rsidR="002D4278">
        <w:rPr>
          <w:rFonts w:ascii="Verdana" w:hAnsi="Verdana"/>
          <w:sz w:val="20"/>
        </w:rPr>
        <w:t>0.80</w:t>
      </w:r>
      <w:r w:rsidR="007A2968">
        <w:rPr>
          <w:rFonts w:ascii="Verdana" w:hAnsi="Verdana"/>
          <w:sz w:val="20"/>
        </w:rPr>
        <w:t xml:space="preserve"> m x 1.2</w:t>
      </w:r>
      <w:r w:rsidR="002D4278">
        <w:rPr>
          <w:rFonts w:ascii="Verdana" w:hAnsi="Verdana"/>
          <w:sz w:val="20"/>
        </w:rPr>
        <w:t>0</w:t>
      </w:r>
      <w:r w:rsidR="007A2968">
        <w:rPr>
          <w:rFonts w:ascii="Verdana" w:hAnsi="Verdana"/>
          <w:sz w:val="20"/>
        </w:rPr>
        <w:t xml:space="preserve"> m fermées par un couvercle étanche </w:t>
      </w:r>
      <w:r w:rsidR="00A905A9">
        <w:rPr>
          <w:rFonts w:ascii="Verdana" w:hAnsi="Verdana"/>
          <w:sz w:val="20"/>
        </w:rPr>
        <w:t xml:space="preserve">à l’eau </w:t>
      </w:r>
      <w:r w:rsidR="00E96DCC">
        <w:rPr>
          <w:rFonts w:ascii="Verdana" w:hAnsi="Verdana"/>
          <w:sz w:val="20"/>
        </w:rPr>
        <w:t>permettant également</w:t>
      </w:r>
      <w:r w:rsidR="00A905A9">
        <w:rPr>
          <w:rFonts w:ascii="Verdana" w:hAnsi="Verdana"/>
          <w:sz w:val="20"/>
        </w:rPr>
        <w:t xml:space="preserve"> d’éviter la contamination, la perte ou les mélanges et</w:t>
      </w:r>
      <w:r>
        <w:rPr>
          <w:rFonts w:ascii="Verdana" w:hAnsi="Verdana"/>
          <w:sz w:val="20"/>
        </w:rPr>
        <w:t xml:space="preserve"> </w:t>
      </w:r>
      <w:r w:rsidR="00BC3110">
        <w:rPr>
          <w:rFonts w:ascii="Verdana" w:hAnsi="Verdana"/>
          <w:sz w:val="20"/>
        </w:rPr>
        <w:t>fournis exclusivement par EcoTitanium</w:t>
      </w:r>
      <w:r w:rsidR="00A905A9">
        <w:rPr>
          <w:rFonts w:ascii="Verdana" w:hAnsi="Verdana"/>
          <w:sz w:val="20"/>
        </w:rPr>
        <w:t xml:space="preserve">. Ils seront </w:t>
      </w:r>
      <w:proofErr w:type="spellStart"/>
      <w:r w:rsidR="00A905A9">
        <w:rPr>
          <w:rFonts w:ascii="Verdana" w:hAnsi="Verdana"/>
          <w:sz w:val="20"/>
        </w:rPr>
        <w:t>manutentionnables</w:t>
      </w:r>
      <w:proofErr w:type="spellEnd"/>
      <w:r w:rsidR="00A905A9">
        <w:rPr>
          <w:rFonts w:ascii="Verdana" w:hAnsi="Verdana"/>
          <w:sz w:val="20"/>
        </w:rPr>
        <w:t xml:space="preserve"> au chariot élévateur et </w:t>
      </w:r>
      <w:proofErr w:type="spellStart"/>
      <w:r w:rsidR="00A905A9">
        <w:rPr>
          <w:rFonts w:ascii="Verdana" w:hAnsi="Verdana"/>
          <w:sz w:val="20"/>
        </w:rPr>
        <w:t>gerbables</w:t>
      </w:r>
      <w:proofErr w:type="spellEnd"/>
      <w:r w:rsidR="00A905A9">
        <w:rPr>
          <w:rFonts w:ascii="Verdana" w:hAnsi="Verdana"/>
          <w:sz w:val="20"/>
        </w:rPr>
        <w:t xml:space="preserve">. </w:t>
      </w:r>
    </w:p>
    <w:p w:rsidR="00233483" w:rsidRPr="00233483" w:rsidRDefault="00233483" w:rsidP="00233483">
      <w:p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>Ces conten</w:t>
      </w:r>
      <w:r>
        <w:rPr>
          <w:rFonts w:ascii="Verdana" w:hAnsi="Verdana"/>
          <w:sz w:val="20"/>
        </w:rPr>
        <w:t>ant</w:t>
      </w:r>
      <w:r w:rsidRPr="00233483">
        <w:rPr>
          <w:rFonts w:ascii="Verdana" w:hAnsi="Verdana"/>
          <w:sz w:val="20"/>
        </w:rPr>
        <w:t xml:space="preserve">s </w:t>
      </w:r>
      <w:r w:rsidR="00A905A9">
        <w:rPr>
          <w:rFonts w:ascii="Verdana" w:hAnsi="Verdana"/>
          <w:sz w:val="20"/>
        </w:rPr>
        <w:t>se</w:t>
      </w:r>
      <w:r w:rsidR="007F55FC">
        <w:rPr>
          <w:rFonts w:ascii="Verdana" w:hAnsi="Verdana"/>
          <w:sz w:val="20"/>
        </w:rPr>
        <w:t xml:space="preserve">ront dédiés </w:t>
      </w:r>
      <w:r w:rsidR="00A905A9">
        <w:rPr>
          <w:rFonts w:ascii="Verdana" w:hAnsi="Verdana"/>
          <w:sz w:val="20"/>
        </w:rPr>
        <w:t>exclusivement au transport d’alliages de Titane</w:t>
      </w:r>
      <w:r w:rsidR="00074151" w:rsidRPr="00074151">
        <w:rPr>
          <w:rFonts w:ascii="Verdana" w:hAnsi="Verdana"/>
          <w:sz w:val="20"/>
        </w:rPr>
        <w:t xml:space="preserve"> </w:t>
      </w:r>
      <w:r w:rsidR="00074151">
        <w:rPr>
          <w:rFonts w:ascii="Verdana" w:hAnsi="Verdana"/>
          <w:sz w:val="20"/>
        </w:rPr>
        <w:t xml:space="preserve">et en particulier réaliseront des allers et retours entre le processeur </w:t>
      </w:r>
      <w:r w:rsidR="007F4064">
        <w:rPr>
          <w:rFonts w:ascii="Verdana" w:hAnsi="Verdana"/>
          <w:sz w:val="20"/>
        </w:rPr>
        <w:t xml:space="preserve">de chutes </w:t>
      </w:r>
      <w:r w:rsidR="00074151">
        <w:rPr>
          <w:rFonts w:ascii="Verdana" w:hAnsi="Verdana"/>
          <w:sz w:val="20"/>
        </w:rPr>
        <w:t xml:space="preserve">et </w:t>
      </w:r>
      <w:proofErr w:type="spellStart"/>
      <w:r w:rsidR="00074151">
        <w:rPr>
          <w:rFonts w:ascii="Verdana" w:hAnsi="Verdana"/>
          <w:sz w:val="20"/>
        </w:rPr>
        <w:t>EcoTitanium</w:t>
      </w:r>
      <w:proofErr w:type="spellEnd"/>
      <w:r w:rsidR="00A905A9">
        <w:rPr>
          <w:rFonts w:ascii="Verdana" w:hAnsi="Verdana"/>
          <w:sz w:val="20"/>
        </w:rPr>
        <w:t xml:space="preserve">. </w:t>
      </w:r>
    </w:p>
    <w:p w:rsidR="006F0A9A" w:rsidRDefault="00A905A9" w:rsidP="006F0A9A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Avant</w:t>
      </w:r>
      <w:r w:rsidR="006F0A9A">
        <w:rPr>
          <w:rFonts w:ascii="Verdana" w:hAnsi="Verdana"/>
          <w:sz w:val="20"/>
        </w:rPr>
        <w:t xml:space="preserve"> remplissage</w:t>
      </w:r>
      <w:r>
        <w:rPr>
          <w:rFonts w:ascii="Verdana" w:hAnsi="Verdana"/>
          <w:sz w:val="20"/>
        </w:rPr>
        <w:t xml:space="preserve"> des contenants</w:t>
      </w:r>
      <w:r w:rsidR="006F0A9A">
        <w:rPr>
          <w:rFonts w:ascii="Verdana" w:hAnsi="Verdana"/>
          <w:sz w:val="20"/>
        </w:rPr>
        <w:t>, l</w:t>
      </w:r>
      <w:r w:rsidR="006F0A9A" w:rsidRPr="00703134">
        <w:rPr>
          <w:rFonts w:ascii="Verdana" w:hAnsi="Verdana"/>
          <w:sz w:val="20"/>
        </w:rPr>
        <w:t xml:space="preserve">e </w:t>
      </w:r>
      <w:r>
        <w:rPr>
          <w:rFonts w:ascii="Verdana" w:hAnsi="Verdana"/>
          <w:sz w:val="20"/>
        </w:rPr>
        <w:t>p</w:t>
      </w:r>
      <w:r w:rsidR="006F0A9A">
        <w:rPr>
          <w:rFonts w:ascii="Verdana" w:hAnsi="Verdana"/>
          <w:sz w:val="20"/>
        </w:rPr>
        <w:t>r</w:t>
      </w:r>
      <w:r>
        <w:rPr>
          <w:rFonts w:ascii="Verdana" w:hAnsi="Verdana"/>
          <w:sz w:val="20"/>
        </w:rPr>
        <w:t>ocesseur</w:t>
      </w:r>
      <w:r w:rsidR="006F0A9A">
        <w:rPr>
          <w:rFonts w:ascii="Verdana" w:hAnsi="Verdana"/>
          <w:sz w:val="20"/>
        </w:rPr>
        <w:t xml:space="preserve"> </w:t>
      </w:r>
      <w:r w:rsidR="002D4278">
        <w:rPr>
          <w:rFonts w:ascii="Verdana" w:hAnsi="Verdana"/>
          <w:sz w:val="20"/>
        </w:rPr>
        <w:t>de chutes</w:t>
      </w:r>
      <w:r w:rsidR="006F0A9A" w:rsidRPr="00703134">
        <w:rPr>
          <w:rFonts w:ascii="Verdana" w:hAnsi="Verdana"/>
          <w:sz w:val="20"/>
        </w:rPr>
        <w:t xml:space="preserve"> devra s’assurer que le contenant utilisé est </w:t>
      </w:r>
      <w:r>
        <w:rPr>
          <w:rFonts w:ascii="Verdana" w:hAnsi="Verdana"/>
          <w:sz w:val="20"/>
        </w:rPr>
        <w:t>propre, c’est-à-dire exempt de toutes matières étrangères telles que copeaux, huile, humidité, poussières…</w:t>
      </w:r>
      <w:r w:rsidR="006F0A9A" w:rsidRPr="00703134">
        <w:rPr>
          <w:rFonts w:ascii="Verdana" w:hAnsi="Verdana"/>
          <w:sz w:val="20"/>
        </w:rPr>
        <w:t xml:space="preserve"> </w:t>
      </w:r>
      <w:r w:rsidR="007F4064">
        <w:rPr>
          <w:rFonts w:ascii="Verdana" w:hAnsi="Verdana"/>
          <w:sz w:val="20"/>
        </w:rPr>
        <w:t>(Procédure d’inspection des contenants à mettre en place)</w:t>
      </w:r>
      <w:r w:rsidR="007F4064">
        <w:rPr>
          <w:rFonts w:ascii="Verdana" w:hAnsi="Verdana"/>
          <w:sz w:val="20"/>
        </w:rPr>
        <w:t>.</w:t>
      </w:r>
    </w:p>
    <w:p w:rsidR="00466735" w:rsidRPr="006A4A8F" w:rsidRDefault="00466735" w:rsidP="00F05B42">
      <w:pPr>
        <w:jc w:val="both"/>
        <w:rPr>
          <w:rFonts w:ascii="Verdana" w:hAnsi="Verdana"/>
          <w:sz w:val="20"/>
        </w:rPr>
      </w:pPr>
    </w:p>
    <w:p w:rsidR="006E1FB5" w:rsidRPr="00D877F6" w:rsidRDefault="00C0367F" w:rsidP="006E1FB5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Le lot de </w:t>
      </w:r>
      <w:r w:rsidR="002D4278">
        <w:rPr>
          <w:rFonts w:ascii="Verdana" w:hAnsi="Verdana"/>
          <w:sz w:val="20"/>
        </w:rPr>
        <w:t>chutes</w:t>
      </w:r>
      <w:r>
        <w:rPr>
          <w:rFonts w:ascii="Verdana" w:hAnsi="Verdana"/>
          <w:sz w:val="20"/>
        </w:rPr>
        <w:t xml:space="preserve"> se</w:t>
      </w:r>
      <w:r w:rsidRPr="00233483">
        <w:rPr>
          <w:rFonts w:ascii="Verdana" w:hAnsi="Verdana"/>
          <w:sz w:val="20"/>
        </w:rPr>
        <w:t>ra identifié par un numéro de lot unique</w:t>
      </w:r>
      <w:r>
        <w:rPr>
          <w:rFonts w:ascii="Verdana" w:hAnsi="Verdana"/>
          <w:sz w:val="20"/>
        </w:rPr>
        <w:t xml:space="preserve"> </w:t>
      </w:r>
      <w:r w:rsidR="00826025">
        <w:rPr>
          <w:rFonts w:ascii="Verdana" w:hAnsi="Verdana"/>
          <w:sz w:val="20"/>
        </w:rPr>
        <w:t>qui pourra être le numéro de lot collecté</w:t>
      </w:r>
      <w:r w:rsidRPr="00233483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 xml:space="preserve"> Un lot pourra être contenu dans plusieurs contenants</w:t>
      </w:r>
      <w:r w:rsidR="00451F14">
        <w:rPr>
          <w:rFonts w:ascii="Verdana" w:hAnsi="Verdana"/>
          <w:sz w:val="20"/>
        </w:rPr>
        <w:t xml:space="preserve">. </w:t>
      </w:r>
      <w:r w:rsidRPr="00233483">
        <w:rPr>
          <w:rFonts w:ascii="Verdana" w:hAnsi="Verdana"/>
          <w:sz w:val="20"/>
        </w:rPr>
        <w:t>Chaque conten</w:t>
      </w:r>
      <w:r>
        <w:rPr>
          <w:rFonts w:ascii="Verdana" w:hAnsi="Verdana"/>
          <w:sz w:val="20"/>
        </w:rPr>
        <w:t>ant</w:t>
      </w:r>
      <w:r w:rsidRPr="00233483">
        <w:rPr>
          <w:rFonts w:ascii="Verdana" w:hAnsi="Verdana"/>
          <w:sz w:val="20"/>
        </w:rPr>
        <w:t xml:space="preserve"> de c</w:t>
      </w:r>
      <w:r w:rsidR="002D4278">
        <w:rPr>
          <w:rFonts w:ascii="Verdana" w:hAnsi="Verdana"/>
          <w:sz w:val="20"/>
        </w:rPr>
        <w:t>hutes</w:t>
      </w:r>
      <w:r w:rsidRPr="00233483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sera identifié par un numéro unique.</w:t>
      </w:r>
    </w:p>
    <w:p w:rsidR="00D05CF9" w:rsidRPr="00233483" w:rsidRDefault="00D05CF9" w:rsidP="003B6D57">
      <w:pPr>
        <w:jc w:val="both"/>
        <w:rPr>
          <w:rFonts w:ascii="Verdana" w:hAnsi="Verdana"/>
          <w:sz w:val="20"/>
        </w:rPr>
      </w:pPr>
    </w:p>
    <w:p w:rsidR="00F80B3B" w:rsidRPr="00233483" w:rsidRDefault="00D05CF9" w:rsidP="003B6D57">
      <w:p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 xml:space="preserve">Chaque </w:t>
      </w:r>
      <w:r w:rsidR="004E4823">
        <w:rPr>
          <w:rFonts w:ascii="Verdana" w:hAnsi="Verdana"/>
          <w:sz w:val="20"/>
        </w:rPr>
        <w:t>lot</w:t>
      </w:r>
      <w:r w:rsidRPr="00233483">
        <w:rPr>
          <w:rFonts w:ascii="Verdana" w:hAnsi="Verdana"/>
          <w:sz w:val="20"/>
        </w:rPr>
        <w:t xml:space="preserve"> sera </w:t>
      </w:r>
      <w:r w:rsidR="00C842CB">
        <w:rPr>
          <w:rFonts w:ascii="Verdana" w:hAnsi="Verdana"/>
          <w:sz w:val="20"/>
        </w:rPr>
        <w:t>accompagné</w:t>
      </w:r>
      <w:r w:rsidRPr="00233483">
        <w:rPr>
          <w:rFonts w:ascii="Verdana" w:hAnsi="Verdana"/>
          <w:sz w:val="20"/>
        </w:rPr>
        <w:t xml:space="preserve"> </w:t>
      </w:r>
      <w:r w:rsidR="00C842CB">
        <w:rPr>
          <w:rFonts w:ascii="Verdana" w:hAnsi="Verdana"/>
          <w:sz w:val="20"/>
        </w:rPr>
        <w:t>de documents indiquant</w:t>
      </w:r>
      <w:r w:rsidR="002B3999" w:rsidRPr="00233483">
        <w:rPr>
          <w:rFonts w:ascii="Verdana" w:hAnsi="Verdana"/>
          <w:sz w:val="20"/>
        </w:rPr>
        <w:t xml:space="preserve"> les informations suivantes</w:t>
      </w:r>
      <w:r w:rsidR="00F80B3B" w:rsidRPr="00233483">
        <w:rPr>
          <w:rFonts w:ascii="Verdana" w:hAnsi="Verdana"/>
          <w:sz w:val="20"/>
        </w:rPr>
        <w:t>:</w:t>
      </w:r>
    </w:p>
    <w:p w:rsidR="00993CE8" w:rsidRDefault="00993CE8" w:rsidP="00993CE8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72FCB">
        <w:rPr>
          <w:rFonts w:ascii="Verdana" w:hAnsi="Verdana"/>
          <w:sz w:val="20"/>
        </w:rPr>
        <w:t xml:space="preserve">Le nom du client </w:t>
      </w:r>
      <w:r>
        <w:rPr>
          <w:rFonts w:ascii="Verdana" w:hAnsi="Verdana"/>
          <w:sz w:val="20"/>
        </w:rPr>
        <w:t xml:space="preserve">et le </w:t>
      </w:r>
      <w:r w:rsidRPr="00272FCB">
        <w:rPr>
          <w:rFonts w:ascii="Verdana" w:hAnsi="Verdana"/>
          <w:sz w:val="20"/>
        </w:rPr>
        <w:t>contrat</w:t>
      </w:r>
      <w:r>
        <w:rPr>
          <w:rFonts w:ascii="Verdana" w:hAnsi="Verdana"/>
          <w:sz w:val="20"/>
        </w:rPr>
        <w:t xml:space="preserve"> associé</w:t>
      </w:r>
      <w:r w:rsidRPr="00272FCB">
        <w:rPr>
          <w:rFonts w:ascii="Verdana" w:hAnsi="Verdana"/>
          <w:sz w:val="20"/>
        </w:rPr>
        <w:t xml:space="preserve">, </w:t>
      </w:r>
    </w:p>
    <w:p w:rsidR="00993CE8" w:rsidRDefault="00993CE8" w:rsidP="00993CE8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>le numéro de commande</w:t>
      </w:r>
      <w:r w:rsidR="004E4823">
        <w:rPr>
          <w:rFonts w:ascii="Verdana" w:hAnsi="Verdana"/>
          <w:sz w:val="20"/>
        </w:rPr>
        <w:t>,</w:t>
      </w:r>
    </w:p>
    <w:p w:rsidR="004E4823" w:rsidRPr="00272FCB" w:rsidRDefault="004E4823" w:rsidP="00993CE8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le numéro d’ordre de traitement, </w:t>
      </w:r>
    </w:p>
    <w:p w:rsidR="00993CE8" w:rsidRDefault="00993CE8" w:rsidP="00993CE8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L’article chute,</w:t>
      </w:r>
    </w:p>
    <w:p w:rsidR="00993CE8" w:rsidRPr="00233483" w:rsidRDefault="00993CE8" w:rsidP="00993CE8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 xml:space="preserve">le nom de la nuance, </w:t>
      </w:r>
    </w:p>
    <w:p w:rsidR="00993CE8" w:rsidRPr="00233483" w:rsidRDefault="004E4823" w:rsidP="00993CE8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 xml:space="preserve">le </w:t>
      </w:r>
      <w:r>
        <w:rPr>
          <w:rFonts w:ascii="Verdana" w:hAnsi="Verdana"/>
          <w:sz w:val="20"/>
        </w:rPr>
        <w:t>nombre</w:t>
      </w:r>
      <w:r w:rsidRPr="00233483">
        <w:rPr>
          <w:rFonts w:ascii="Verdana" w:hAnsi="Verdana"/>
          <w:sz w:val="20"/>
        </w:rPr>
        <w:t xml:space="preserve"> d</w:t>
      </w:r>
      <w:r>
        <w:rPr>
          <w:rFonts w:ascii="Verdana" w:hAnsi="Verdana"/>
          <w:sz w:val="20"/>
        </w:rPr>
        <w:t>e</w:t>
      </w:r>
      <w:r w:rsidRPr="00233483">
        <w:rPr>
          <w:rFonts w:ascii="Verdana" w:hAnsi="Verdana"/>
          <w:sz w:val="20"/>
        </w:rPr>
        <w:t xml:space="preserve"> conten</w:t>
      </w:r>
      <w:r>
        <w:rPr>
          <w:rFonts w:ascii="Verdana" w:hAnsi="Verdana"/>
          <w:sz w:val="20"/>
        </w:rPr>
        <w:t>ants et leurs numéros</w:t>
      </w:r>
      <w:r w:rsidR="00993CE8" w:rsidRPr="00233483">
        <w:rPr>
          <w:rFonts w:ascii="Verdana" w:hAnsi="Verdana"/>
          <w:sz w:val="20"/>
        </w:rPr>
        <w:t xml:space="preserve">, </w:t>
      </w:r>
    </w:p>
    <w:p w:rsidR="00993CE8" w:rsidRPr="00272FCB" w:rsidRDefault="00993CE8" w:rsidP="00993CE8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 xml:space="preserve">le numéro de lot, </w:t>
      </w:r>
    </w:p>
    <w:p w:rsidR="00993CE8" w:rsidRPr="00233483" w:rsidRDefault="00993CE8" w:rsidP="00993CE8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 xml:space="preserve">Le nom et l’adresse du générateur de </w:t>
      </w:r>
      <w:r w:rsidR="00C61DD5">
        <w:rPr>
          <w:rFonts w:ascii="Verdana" w:hAnsi="Verdana"/>
          <w:sz w:val="20"/>
        </w:rPr>
        <w:t>chutes</w:t>
      </w:r>
      <w:r w:rsidRPr="00233483">
        <w:rPr>
          <w:rFonts w:ascii="Verdana" w:hAnsi="Verdana"/>
          <w:sz w:val="20"/>
        </w:rPr>
        <w:t>,</w:t>
      </w:r>
    </w:p>
    <w:p w:rsidR="00993CE8" w:rsidRPr="00233483" w:rsidRDefault="00993CE8" w:rsidP="00993CE8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 xml:space="preserve">Le lieu précis de génération (si possible </w:t>
      </w:r>
      <w:r>
        <w:rPr>
          <w:rFonts w:ascii="Verdana" w:hAnsi="Verdana"/>
          <w:sz w:val="20"/>
        </w:rPr>
        <w:t>atelier, machine</w:t>
      </w:r>
      <w:r w:rsidRPr="00233483">
        <w:rPr>
          <w:rFonts w:ascii="Verdana" w:hAnsi="Verdana"/>
          <w:sz w:val="20"/>
        </w:rPr>
        <w:t>),</w:t>
      </w:r>
    </w:p>
    <w:p w:rsidR="00D8183B" w:rsidRDefault="00993CE8" w:rsidP="00993CE8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>La date d’enlèvement</w:t>
      </w:r>
      <w:r w:rsidR="00D8183B">
        <w:rPr>
          <w:rFonts w:ascii="Verdana" w:hAnsi="Verdana"/>
          <w:sz w:val="20"/>
        </w:rPr>
        <w:t xml:space="preserve"> chez le générateur,</w:t>
      </w:r>
    </w:p>
    <w:p w:rsidR="00993CE8" w:rsidRPr="00233483" w:rsidRDefault="00D8183B" w:rsidP="00993CE8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La date de réception chez le processeur</w:t>
      </w:r>
      <w:r w:rsidR="00993CE8" w:rsidRPr="00233483">
        <w:rPr>
          <w:rFonts w:ascii="Verdana" w:hAnsi="Verdana"/>
          <w:sz w:val="20"/>
        </w:rPr>
        <w:t>,</w:t>
      </w:r>
    </w:p>
    <w:p w:rsidR="00993CE8" w:rsidRDefault="00D8183B" w:rsidP="00993CE8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Nature de la </w:t>
      </w:r>
      <w:commentRangeStart w:id="4"/>
      <w:r>
        <w:rPr>
          <w:rFonts w:ascii="Verdana" w:hAnsi="Verdana"/>
          <w:sz w:val="20"/>
        </w:rPr>
        <w:t>matière première secondaire</w:t>
      </w:r>
      <w:r w:rsidR="00993CE8" w:rsidRPr="00233483">
        <w:rPr>
          <w:rFonts w:ascii="Verdana" w:hAnsi="Verdana"/>
          <w:sz w:val="20"/>
        </w:rPr>
        <w:t xml:space="preserve"> </w:t>
      </w:r>
      <w:commentRangeEnd w:id="4"/>
      <w:r w:rsidRPr="00D8183B">
        <w:rPr>
          <w:rFonts w:ascii="Verdana" w:hAnsi="Verdana"/>
          <w:sz w:val="20"/>
        </w:rPr>
        <w:commentReference w:id="4"/>
      </w:r>
      <w:r w:rsidRPr="00D8183B">
        <w:rPr>
          <w:rFonts w:ascii="Verdana" w:hAnsi="Verdana"/>
          <w:sz w:val="20"/>
        </w:rPr>
        <w:t>entrante (nomenclature matière première secondaire annexe II de l’article R. 541-8 du code de l’environnement)</w:t>
      </w:r>
      <w:r>
        <w:rPr>
          <w:rFonts w:ascii="Verdana" w:hAnsi="Verdana"/>
          <w:sz w:val="20"/>
        </w:rPr>
        <w:t>,</w:t>
      </w:r>
    </w:p>
    <w:p w:rsidR="00D8183B" w:rsidRPr="00D8183B" w:rsidRDefault="00D8183B" w:rsidP="00D8183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D8183B">
        <w:rPr>
          <w:rFonts w:ascii="Verdana" w:hAnsi="Verdana"/>
          <w:sz w:val="20"/>
        </w:rPr>
        <w:t>Le nom et l’adresse de l’installation expéditrice des matières premières secondaires</w:t>
      </w:r>
      <w:r>
        <w:rPr>
          <w:rFonts w:ascii="Verdana" w:hAnsi="Verdana"/>
          <w:sz w:val="20"/>
        </w:rPr>
        <w:t>,</w:t>
      </w:r>
    </w:p>
    <w:p w:rsidR="00D8183B" w:rsidRPr="00D8183B" w:rsidRDefault="00D8183B" w:rsidP="00D8183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D8183B">
        <w:rPr>
          <w:rFonts w:ascii="Verdana" w:hAnsi="Verdana"/>
          <w:sz w:val="20"/>
        </w:rPr>
        <w:t>Le nom et l’adresse du ou des transporteurs, ainsi que le numéro de récépissé mentionné à l’article R 541-53 du code de l’environnement</w:t>
      </w:r>
      <w:r w:rsidR="00E91B90">
        <w:rPr>
          <w:rFonts w:ascii="Verdana" w:hAnsi="Verdana"/>
          <w:sz w:val="20"/>
        </w:rPr>
        <w:t>,</w:t>
      </w:r>
    </w:p>
    <w:p w:rsidR="00D8183B" w:rsidRPr="00D8183B" w:rsidRDefault="00D8183B" w:rsidP="00D8183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D8183B">
        <w:rPr>
          <w:rFonts w:ascii="Verdana" w:hAnsi="Verdana"/>
          <w:sz w:val="20"/>
        </w:rPr>
        <w:t>Le numéro du ou des bordereaux de suivi de matières premières secondaires (BSD)</w:t>
      </w:r>
      <w:r w:rsidR="00E91B90">
        <w:rPr>
          <w:rFonts w:ascii="Verdana" w:hAnsi="Verdana"/>
          <w:sz w:val="20"/>
        </w:rPr>
        <w:t>,</w:t>
      </w:r>
    </w:p>
    <w:p w:rsidR="00D8183B" w:rsidRPr="00D8183B" w:rsidRDefault="00D8183B" w:rsidP="00D8183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D8183B">
        <w:rPr>
          <w:rFonts w:ascii="Verdana" w:hAnsi="Verdana"/>
          <w:sz w:val="20"/>
        </w:rPr>
        <w:t>Le code du traitement qui va être opéré dans l’installation selon les annexes I et II de la directive n°2088/98/CE</w:t>
      </w:r>
      <w:r w:rsidR="00E91B90">
        <w:rPr>
          <w:rFonts w:ascii="Verdana" w:hAnsi="Verdana"/>
          <w:sz w:val="20"/>
        </w:rPr>
        <w:t>,</w:t>
      </w:r>
    </w:p>
    <w:p w:rsidR="00993CE8" w:rsidRPr="00233483" w:rsidRDefault="00993CE8" w:rsidP="00993CE8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>le poids total</w:t>
      </w:r>
      <w:r>
        <w:rPr>
          <w:rFonts w:ascii="Verdana" w:hAnsi="Verdana"/>
          <w:sz w:val="20"/>
        </w:rPr>
        <w:t>,</w:t>
      </w:r>
    </w:p>
    <w:p w:rsidR="00C57AAA" w:rsidRDefault="00993CE8" w:rsidP="008D3097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>le poids ne</w:t>
      </w:r>
      <w:r>
        <w:rPr>
          <w:rFonts w:ascii="Verdana" w:hAnsi="Verdana"/>
          <w:sz w:val="20"/>
        </w:rPr>
        <w:t>t</w:t>
      </w:r>
      <w:r w:rsidR="00E91B90">
        <w:rPr>
          <w:rFonts w:ascii="Verdana" w:hAnsi="Verdana"/>
          <w:sz w:val="20"/>
        </w:rPr>
        <w:t>.</w:t>
      </w:r>
    </w:p>
    <w:p w:rsidR="004E4823" w:rsidRDefault="004E4823" w:rsidP="004E4823">
      <w:pPr>
        <w:jc w:val="both"/>
        <w:rPr>
          <w:rFonts w:ascii="Verdana" w:hAnsi="Verdana"/>
          <w:sz w:val="20"/>
        </w:rPr>
      </w:pPr>
      <w:r w:rsidRPr="009655FE">
        <w:rPr>
          <w:rFonts w:ascii="Verdana" w:hAnsi="Verdana"/>
          <w:sz w:val="20"/>
        </w:rPr>
        <w:t xml:space="preserve">Ces informations seront </w:t>
      </w:r>
      <w:r>
        <w:rPr>
          <w:rFonts w:ascii="Verdana" w:hAnsi="Verdana"/>
          <w:sz w:val="20"/>
        </w:rPr>
        <w:t xml:space="preserve">également </w:t>
      </w:r>
      <w:r w:rsidRPr="009655FE">
        <w:rPr>
          <w:rFonts w:ascii="Verdana" w:hAnsi="Verdana"/>
          <w:sz w:val="20"/>
        </w:rPr>
        <w:t xml:space="preserve">transmises dans le SI </w:t>
      </w:r>
      <w:proofErr w:type="spellStart"/>
      <w:r w:rsidRPr="009655FE">
        <w:rPr>
          <w:rFonts w:ascii="Verdana" w:hAnsi="Verdana"/>
          <w:sz w:val="20"/>
        </w:rPr>
        <w:t>EcoTitanium</w:t>
      </w:r>
      <w:proofErr w:type="spellEnd"/>
      <w:r w:rsidRPr="009655FE">
        <w:rPr>
          <w:rFonts w:ascii="Verdana" w:hAnsi="Verdana"/>
          <w:sz w:val="20"/>
        </w:rPr>
        <w:t xml:space="preserve"> via </w:t>
      </w:r>
      <w:r>
        <w:rPr>
          <w:rFonts w:ascii="Verdana" w:hAnsi="Verdana"/>
          <w:sz w:val="20"/>
        </w:rPr>
        <w:t>une</w:t>
      </w:r>
      <w:r w:rsidRPr="009655FE">
        <w:rPr>
          <w:rFonts w:ascii="Verdana" w:hAnsi="Verdana"/>
          <w:sz w:val="20"/>
        </w:rPr>
        <w:t xml:space="preserve"> puce</w:t>
      </w:r>
      <w:r>
        <w:rPr>
          <w:rFonts w:ascii="Verdana" w:hAnsi="Verdana"/>
          <w:sz w:val="20"/>
        </w:rPr>
        <w:t xml:space="preserve"> RFID portée par</w:t>
      </w:r>
      <w:r w:rsidRPr="009655FE">
        <w:rPr>
          <w:rFonts w:ascii="Verdana" w:hAnsi="Verdana"/>
          <w:sz w:val="20"/>
        </w:rPr>
        <w:t xml:space="preserve"> chaque </w:t>
      </w:r>
      <w:r>
        <w:rPr>
          <w:rFonts w:ascii="Verdana" w:hAnsi="Verdana"/>
          <w:sz w:val="20"/>
        </w:rPr>
        <w:t>contenant</w:t>
      </w:r>
      <w:r w:rsidRPr="009655FE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 xml:space="preserve"> La puce RFID identifiera le contenant associé et le lot. </w:t>
      </w:r>
    </w:p>
    <w:p w:rsidR="004E4823" w:rsidRDefault="004E4823" w:rsidP="004E4823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La transmission des informations au SI </w:t>
      </w:r>
      <w:proofErr w:type="spellStart"/>
      <w:r>
        <w:rPr>
          <w:rFonts w:ascii="Verdana" w:hAnsi="Verdana"/>
          <w:sz w:val="20"/>
        </w:rPr>
        <w:t>EcoTitanium</w:t>
      </w:r>
      <w:proofErr w:type="spellEnd"/>
      <w:r>
        <w:rPr>
          <w:rFonts w:ascii="Verdana" w:hAnsi="Verdana"/>
          <w:sz w:val="20"/>
        </w:rPr>
        <w:t xml:space="preserve"> sera réalisée par une solution à construire en partenariat avec le processeur de copeaux. </w:t>
      </w:r>
    </w:p>
    <w:p w:rsidR="00283FDA" w:rsidRDefault="00283FDA" w:rsidP="00E91B90">
      <w:pPr>
        <w:jc w:val="both"/>
        <w:rPr>
          <w:rFonts w:ascii="Verdana" w:hAnsi="Verdana"/>
          <w:sz w:val="20"/>
        </w:rPr>
      </w:pPr>
    </w:p>
    <w:p w:rsidR="000C6131" w:rsidRDefault="000C6131" w:rsidP="000C6131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Les camions utilis</w:t>
      </w:r>
      <w:r w:rsidR="00C61DD5">
        <w:rPr>
          <w:rFonts w:ascii="Verdana" w:hAnsi="Verdana"/>
          <w:sz w:val="20"/>
        </w:rPr>
        <w:t>és pour le transport des chutes massives</w:t>
      </w:r>
      <w:r>
        <w:rPr>
          <w:rFonts w:ascii="Verdana" w:hAnsi="Verdana"/>
          <w:sz w:val="20"/>
        </w:rPr>
        <w:t xml:space="preserve"> traité</w:t>
      </w:r>
      <w:r w:rsidR="00C61DD5">
        <w:rPr>
          <w:rFonts w:ascii="Verdana" w:hAnsi="Verdana"/>
          <w:sz w:val="20"/>
        </w:rPr>
        <w:t>e</w:t>
      </w:r>
      <w:r>
        <w:rPr>
          <w:rFonts w:ascii="Verdana" w:hAnsi="Verdana"/>
          <w:sz w:val="20"/>
        </w:rPr>
        <w:t>s seront co</w:t>
      </w:r>
      <w:r w:rsidR="00C61DD5">
        <w:rPr>
          <w:rFonts w:ascii="Verdana" w:hAnsi="Verdana"/>
          <w:sz w:val="20"/>
        </w:rPr>
        <w:t>uverts. Le transport des chutes massives</w:t>
      </w:r>
      <w:r>
        <w:rPr>
          <w:rFonts w:ascii="Verdana" w:hAnsi="Verdana"/>
          <w:sz w:val="20"/>
        </w:rPr>
        <w:t xml:space="preserve"> traité</w:t>
      </w:r>
      <w:r w:rsidR="00C61DD5">
        <w:rPr>
          <w:rFonts w:ascii="Verdana" w:hAnsi="Verdana"/>
          <w:sz w:val="20"/>
        </w:rPr>
        <w:t>e</w:t>
      </w:r>
      <w:r>
        <w:rPr>
          <w:rFonts w:ascii="Verdana" w:hAnsi="Verdana"/>
          <w:sz w:val="20"/>
        </w:rPr>
        <w:t xml:space="preserve">s sera réalisé de façon à protéger et sécuriser le contenu du camion jusqu’à la réception chez EcoTitanium. </w:t>
      </w:r>
    </w:p>
    <w:p w:rsidR="000C6131" w:rsidRDefault="000C6131" w:rsidP="000C6131">
      <w:pPr>
        <w:jc w:val="both"/>
        <w:rPr>
          <w:rFonts w:ascii="Verdana" w:hAnsi="Verdana"/>
          <w:sz w:val="20"/>
        </w:rPr>
      </w:pPr>
    </w:p>
    <w:p w:rsidR="003523B7" w:rsidRPr="006A4A8F" w:rsidRDefault="003523B7" w:rsidP="003523B7">
      <w:pPr>
        <w:pStyle w:val="Sous-titre"/>
        <w:numPr>
          <w:ilvl w:val="0"/>
          <w:numId w:val="18"/>
        </w:numPr>
      </w:pPr>
      <w:r>
        <w:t>Plan de progrès</w:t>
      </w:r>
    </w:p>
    <w:p w:rsidR="000C6131" w:rsidRDefault="000C6131" w:rsidP="00E91B90">
      <w:pPr>
        <w:jc w:val="both"/>
        <w:rPr>
          <w:rFonts w:ascii="Verdana" w:hAnsi="Verdana"/>
          <w:sz w:val="20"/>
        </w:rPr>
      </w:pPr>
    </w:p>
    <w:p w:rsidR="003523B7" w:rsidRDefault="003523B7" w:rsidP="00E91B90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Le processeur de </w:t>
      </w:r>
      <w:r w:rsidR="00C61DD5">
        <w:rPr>
          <w:rFonts w:ascii="Verdana" w:hAnsi="Verdana"/>
          <w:sz w:val="20"/>
        </w:rPr>
        <w:t>chutes</w:t>
      </w:r>
      <w:r>
        <w:rPr>
          <w:rFonts w:ascii="Verdana" w:hAnsi="Verdana"/>
          <w:sz w:val="20"/>
        </w:rPr>
        <w:t xml:space="preserve"> proposera à </w:t>
      </w:r>
      <w:proofErr w:type="spellStart"/>
      <w:r>
        <w:rPr>
          <w:rFonts w:ascii="Verdana" w:hAnsi="Verdana"/>
          <w:sz w:val="20"/>
        </w:rPr>
        <w:t>EcoTitanium</w:t>
      </w:r>
      <w:proofErr w:type="spellEnd"/>
      <w:r>
        <w:rPr>
          <w:rFonts w:ascii="Verdana" w:hAnsi="Verdana"/>
          <w:sz w:val="20"/>
        </w:rPr>
        <w:t xml:space="preserve"> la mise en œuvre d’un plan de progrès. </w:t>
      </w:r>
    </w:p>
    <w:p w:rsidR="003523B7" w:rsidRDefault="003523B7" w:rsidP="00E91B90">
      <w:pPr>
        <w:jc w:val="both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EcoTitanium</w:t>
      </w:r>
      <w:proofErr w:type="spellEnd"/>
      <w:r>
        <w:rPr>
          <w:rFonts w:ascii="Verdana" w:hAnsi="Verdana"/>
          <w:sz w:val="20"/>
        </w:rPr>
        <w:t xml:space="preserve"> apportera au processeur de </w:t>
      </w:r>
      <w:r w:rsidR="00C61DD5">
        <w:rPr>
          <w:rFonts w:ascii="Verdana" w:hAnsi="Verdana"/>
          <w:sz w:val="20"/>
        </w:rPr>
        <w:t>chutes</w:t>
      </w:r>
      <w:r>
        <w:rPr>
          <w:rFonts w:ascii="Verdana" w:hAnsi="Verdana"/>
          <w:sz w:val="20"/>
        </w:rPr>
        <w:t xml:space="preserve"> toute l’aide dont il pourra avoir besoin et qui sera conjointement définie lors des revues de contrat. </w:t>
      </w:r>
    </w:p>
    <w:p w:rsidR="003523B7" w:rsidRDefault="003523B7" w:rsidP="00E91B90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Par aill</w:t>
      </w:r>
      <w:r w:rsidR="00C61DD5">
        <w:rPr>
          <w:rFonts w:ascii="Verdana" w:hAnsi="Verdana"/>
          <w:sz w:val="20"/>
        </w:rPr>
        <w:t>eurs, le processeur de chutes</w:t>
      </w:r>
      <w:r>
        <w:rPr>
          <w:rFonts w:ascii="Verdana" w:hAnsi="Verdana"/>
          <w:sz w:val="20"/>
        </w:rPr>
        <w:t xml:space="preserve"> présentera annuellement un plan de formation de son personnel, ainsi que la preuve que le personnel travaillant sur l’installation est habilité. </w:t>
      </w:r>
    </w:p>
    <w:p w:rsidR="00F61EE9" w:rsidRDefault="00F61EE9" w:rsidP="00E91B90">
      <w:pPr>
        <w:jc w:val="both"/>
        <w:rPr>
          <w:rFonts w:ascii="Verdana" w:hAnsi="Verdana"/>
          <w:sz w:val="20"/>
        </w:rPr>
      </w:pPr>
    </w:p>
    <w:p w:rsidR="002B3999" w:rsidRPr="00AC5ABF" w:rsidRDefault="005767C6" w:rsidP="00DF3521">
      <w:pPr>
        <w:pStyle w:val="Titre1"/>
        <w:numPr>
          <w:ilvl w:val="0"/>
          <w:numId w:val="14"/>
        </w:numPr>
        <w:rPr>
          <w:rFonts w:ascii="Verdana" w:hAnsi="Verdana"/>
          <w:sz w:val="28"/>
          <w:szCs w:val="28"/>
          <w:u w:val="single"/>
        </w:rPr>
      </w:pPr>
      <w:bookmarkStart w:id="5" w:name="_Toc436236676"/>
      <w:r>
        <w:rPr>
          <w:rFonts w:ascii="Verdana" w:hAnsi="Verdana"/>
          <w:sz w:val="28"/>
          <w:szCs w:val="28"/>
          <w:u w:val="single"/>
        </w:rPr>
        <w:lastRenderedPageBreak/>
        <w:t>ANOMALIE / NON CONFORMITE</w:t>
      </w:r>
      <w:bookmarkEnd w:id="5"/>
    </w:p>
    <w:p w:rsidR="005767C6" w:rsidRDefault="005767C6" w:rsidP="005767C6">
      <w:pPr>
        <w:jc w:val="both"/>
        <w:rPr>
          <w:rFonts w:ascii="Verdana" w:hAnsi="Verdana"/>
          <w:sz w:val="20"/>
        </w:rPr>
      </w:pPr>
    </w:p>
    <w:p w:rsidR="002B3999" w:rsidRDefault="005767C6" w:rsidP="005767C6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Si une anomalie est détectée par le </w:t>
      </w:r>
      <w:r w:rsidR="007C73D2">
        <w:rPr>
          <w:rFonts w:ascii="Verdana" w:hAnsi="Verdana"/>
          <w:sz w:val="20"/>
        </w:rPr>
        <w:t>processeur</w:t>
      </w:r>
      <w:r>
        <w:rPr>
          <w:rFonts w:ascii="Verdana" w:hAnsi="Verdana"/>
          <w:sz w:val="20"/>
        </w:rPr>
        <w:t xml:space="preserve"> de </w:t>
      </w:r>
      <w:r w:rsidR="00950332">
        <w:rPr>
          <w:rFonts w:ascii="Verdana" w:hAnsi="Verdana"/>
          <w:sz w:val="20"/>
        </w:rPr>
        <w:t>chutes</w:t>
      </w:r>
      <w:r>
        <w:rPr>
          <w:rFonts w:ascii="Verdana" w:hAnsi="Verdana"/>
          <w:sz w:val="20"/>
        </w:rPr>
        <w:t xml:space="preserve"> </w:t>
      </w:r>
      <w:r w:rsidR="00952C43">
        <w:rPr>
          <w:rFonts w:ascii="Verdana" w:hAnsi="Verdana"/>
          <w:sz w:val="20"/>
        </w:rPr>
        <w:t>en</w:t>
      </w:r>
      <w:r w:rsidR="007C73D2">
        <w:rPr>
          <w:rFonts w:ascii="Verdana" w:hAnsi="Verdana"/>
          <w:sz w:val="20"/>
        </w:rPr>
        <w:t xml:space="preserve"> amont</w:t>
      </w:r>
      <w:r>
        <w:rPr>
          <w:rFonts w:ascii="Verdana" w:hAnsi="Verdana"/>
          <w:sz w:val="20"/>
        </w:rPr>
        <w:t xml:space="preserve"> ou </w:t>
      </w:r>
      <w:r w:rsidR="007C73D2">
        <w:rPr>
          <w:rFonts w:ascii="Verdana" w:hAnsi="Verdana"/>
          <w:sz w:val="20"/>
        </w:rPr>
        <w:t>au cours du processus de traitement</w:t>
      </w:r>
      <w:r>
        <w:rPr>
          <w:rFonts w:ascii="Verdana" w:hAnsi="Verdana"/>
          <w:sz w:val="20"/>
        </w:rPr>
        <w:t xml:space="preserve"> (ex : </w:t>
      </w:r>
      <w:r w:rsidR="007C73D2">
        <w:rPr>
          <w:rFonts w:ascii="Verdana" w:hAnsi="Verdana"/>
          <w:sz w:val="20"/>
        </w:rPr>
        <w:t>écart analytique</w:t>
      </w:r>
      <w:r>
        <w:rPr>
          <w:rFonts w:ascii="Verdana" w:hAnsi="Verdana"/>
          <w:sz w:val="20"/>
        </w:rPr>
        <w:t>, mélange</w:t>
      </w:r>
      <w:r w:rsidR="007C73D2">
        <w:rPr>
          <w:rFonts w:ascii="Verdana" w:hAnsi="Verdana"/>
          <w:sz w:val="20"/>
        </w:rPr>
        <w:t xml:space="preserve"> de produit</w:t>
      </w:r>
      <w:r>
        <w:rPr>
          <w:rFonts w:ascii="Verdana" w:hAnsi="Verdana"/>
          <w:sz w:val="20"/>
        </w:rPr>
        <w:t xml:space="preserve">…), il devra en informer au plus tôt EcoTitanium. </w:t>
      </w:r>
    </w:p>
    <w:p w:rsidR="005767C6" w:rsidRDefault="005767C6" w:rsidP="005767C6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L’anomalie devra être soldée dans les plus </w:t>
      </w:r>
      <w:commentRangeStart w:id="6"/>
      <w:r>
        <w:rPr>
          <w:rFonts w:ascii="Verdana" w:hAnsi="Verdana"/>
          <w:sz w:val="20"/>
        </w:rPr>
        <w:t xml:space="preserve">brefs </w:t>
      </w:r>
      <w:commentRangeEnd w:id="6"/>
      <w:r w:rsidR="001420BF">
        <w:rPr>
          <w:rStyle w:val="Marquedecommentaire"/>
        </w:rPr>
        <w:commentReference w:id="6"/>
      </w:r>
      <w:r>
        <w:rPr>
          <w:rFonts w:ascii="Verdana" w:hAnsi="Verdana"/>
          <w:sz w:val="20"/>
        </w:rPr>
        <w:t>délais en coopération e</w:t>
      </w:r>
      <w:r w:rsidR="002149C8">
        <w:rPr>
          <w:rFonts w:ascii="Verdana" w:hAnsi="Verdana"/>
          <w:sz w:val="20"/>
        </w:rPr>
        <w:t xml:space="preserve">ntre les services d’EcoTitanium, </w:t>
      </w:r>
      <w:r w:rsidR="007C73D2">
        <w:rPr>
          <w:rFonts w:ascii="Verdana" w:hAnsi="Verdana"/>
          <w:sz w:val="20"/>
        </w:rPr>
        <w:t>du processeur</w:t>
      </w:r>
      <w:r>
        <w:rPr>
          <w:rFonts w:ascii="Verdana" w:hAnsi="Verdana"/>
          <w:sz w:val="20"/>
        </w:rPr>
        <w:t xml:space="preserve"> de </w:t>
      </w:r>
      <w:r w:rsidR="00950332">
        <w:rPr>
          <w:rFonts w:ascii="Verdana" w:hAnsi="Verdana"/>
          <w:sz w:val="20"/>
        </w:rPr>
        <w:t>chutes</w:t>
      </w:r>
      <w:r w:rsidR="002149C8">
        <w:rPr>
          <w:rFonts w:ascii="Verdana" w:hAnsi="Verdana"/>
          <w:sz w:val="20"/>
        </w:rPr>
        <w:t xml:space="preserve"> et éventuellement du générateur et/ou du collecteur de </w:t>
      </w:r>
      <w:r w:rsidR="00950332">
        <w:rPr>
          <w:rFonts w:ascii="Verdana" w:hAnsi="Verdana"/>
          <w:sz w:val="20"/>
        </w:rPr>
        <w:t>chutes</w:t>
      </w:r>
      <w:r w:rsidR="00C05DBB">
        <w:rPr>
          <w:rFonts w:ascii="Verdana" w:hAnsi="Verdana"/>
          <w:sz w:val="20"/>
        </w:rPr>
        <w:t xml:space="preserve"> </w:t>
      </w:r>
      <w:r w:rsidR="00C05DBB">
        <w:rPr>
          <w:rFonts w:ascii="Verdana" w:hAnsi="Verdana"/>
          <w:sz w:val="20"/>
        </w:rPr>
        <w:t xml:space="preserve">(Annexe </w:t>
      </w:r>
      <w:r w:rsidR="00C05DBB">
        <w:rPr>
          <w:rFonts w:ascii="Verdana" w:hAnsi="Verdana"/>
          <w:sz w:val="20"/>
        </w:rPr>
        <w:t>3</w:t>
      </w:r>
      <w:r w:rsidR="00C05DBB">
        <w:rPr>
          <w:rFonts w:ascii="Verdana" w:hAnsi="Verdana"/>
          <w:sz w:val="20"/>
        </w:rPr>
        <w:t> : Tableau des responsabilités)</w:t>
      </w:r>
      <w:r>
        <w:rPr>
          <w:rFonts w:ascii="Verdana" w:hAnsi="Verdana"/>
          <w:sz w:val="20"/>
        </w:rPr>
        <w:t xml:space="preserve">. </w:t>
      </w:r>
    </w:p>
    <w:p w:rsidR="00283FDA" w:rsidRDefault="00283FDA" w:rsidP="005767C6">
      <w:pPr>
        <w:jc w:val="both"/>
        <w:rPr>
          <w:rFonts w:ascii="Verdana" w:hAnsi="Verdana"/>
          <w:sz w:val="20"/>
        </w:rPr>
      </w:pPr>
    </w:p>
    <w:p w:rsidR="00CA5AC4" w:rsidRDefault="00CA5AC4" w:rsidP="005767C6">
      <w:pPr>
        <w:pStyle w:val="Titre1"/>
        <w:numPr>
          <w:ilvl w:val="0"/>
          <w:numId w:val="14"/>
        </w:numPr>
        <w:rPr>
          <w:rFonts w:ascii="Verdana" w:hAnsi="Verdana"/>
          <w:sz w:val="28"/>
          <w:szCs w:val="28"/>
          <w:u w:val="single"/>
        </w:rPr>
      </w:pPr>
      <w:bookmarkStart w:id="7" w:name="_Toc436236677"/>
      <w:r>
        <w:rPr>
          <w:rFonts w:ascii="Verdana" w:hAnsi="Verdana"/>
          <w:sz w:val="28"/>
          <w:szCs w:val="28"/>
          <w:u w:val="single"/>
        </w:rPr>
        <w:t>RISQUES IDENTIFIES ET PLAN D’ACTION</w:t>
      </w:r>
      <w:bookmarkEnd w:id="7"/>
    </w:p>
    <w:p w:rsidR="00CA5AC4" w:rsidRDefault="00CA5AC4" w:rsidP="00CA5AC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F4214C" w:rsidRPr="00F4214C" w:rsidTr="00F4214C">
        <w:tc>
          <w:tcPr>
            <w:tcW w:w="4605" w:type="dxa"/>
          </w:tcPr>
          <w:p w:rsidR="00F4214C" w:rsidRPr="00F4214C" w:rsidRDefault="00F4214C" w:rsidP="00F4214C">
            <w:pPr>
              <w:jc w:val="center"/>
              <w:rPr>
                <w:rFonts w:ascii="Verdana" w:hAnsi="Verdana"/>
                <w:b/>
                <w:sz w:val="20"/>
              </w:rPr>
            </w:pPr>
            <w:r w:rsidRPr="00F4214C">
              <w:rPr>
                <w:rFonts w:ascii="Verdana" w:hAnsi="Verdana"/>
                <w:b/>
                <w:sz w:val="20"/>
              </w:rPr>
              <w:t>Risque identifié</w:t>
            </w:r>
          </w:p>
        </w:tc>
        <w:tc>
          <w:tcPr>
            <w:tcW w:w="4605" w:type="dxa"/>
          </w:tcPr>
          <w:p w:rsidR="00F4214C" w:rsidRPr="00F4214C" w:rsidRDefault="00F4214C" w:rsidP="00F4214C">
            <w:pPr>
              <w:jc w:val="center"/>
              <w:rPr>
                <w:rFonts w:ascii="Verdana" w:hAnsi="Verdana"/>
                <w:b/>
                <w:sz w:val="20"/>
              </w:rPr>
            </w:pPr>
            <w:r w:rsidRPr="00F4214C">
              <w:rPr>
                <w:rFonts w:ascii="Verdana" w:hAnsi="Verdana"/>
                <w:b/>
                <w:sz w:val="20"/>
              </w:rPr>
              <w:t>Plan d’action</w:t>
            </w:r>
          </w:p>
        </w:tc>
      </w:tr>
      <w:tr w:rsidR="00311D55" w:rsidTr="00311D55">
        <w:tc>
          <w:tcPr>
            <w:tcW w:w="4605" w:type="dxa"/>
            <w:vAlign w:val="center"/>
          </w:tcPr>
          <w:p w:rsidR="00311D55" w:rsidRDefault="00311D55" w:rsidP="00311D5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Pollution / mélange au cours du traitement des </w:t>
            </w:r>
            <w:r>
              <w:rPr>
                <w:rFonts w:ascii="Verdana" w:hAnsi="Verdana"/>
                <w:sz w:val="20"/>
              </w:rPr>
              <w:t>chutes massives</w:t>
            </w:r>
          </w:p>
        </w:tc>
        <w:tc>
          <w:tcPr>
            <w:tcW w:w="4605" w:type="dxa"/>
          </w:tcPr>
          <w:p w:rsidR="00311D55" w:rsidRDefault="00311D55" w:rsidP="005157FA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Procédure de maitrise des risques de pollution / contamination croisée à toutes les étapes du traitement.</w:t>
            </w:r>
          </w:p>
          <w:p w:rsidR="00311D55" w:rsidRDefault="00311D55" w:rsidP="005157FA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Procédure pour garantir et démontrer l’efficacité du traitement (tris, dégraissage…). </w:t>
            </w:r>
          </w:p>
        </w:tc>
      </w:tr>
      <w:tr w:rsidR="00311D55" w:rsidTr="00F4214C">
        <w:tc>
          <w:tcPr>
            <w:tcW w:w="4605" w:type="dxa"/>
          </w:tcPr>
          <w:p w:rsidR="00311D55" w:rsidRDefault="00311D55" w:rsidP="00835DF3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Perte de la traçabilité</w:t>
            </w:r>
          </w:p>
        </w:tc>
        <w:tc>
          <w:tcPr>
            <w:tcW w:w="4605" w:type="dxa"/>
          </w:tcPr>
          <w:p w:rsidR="00311D55" w:rsidRDefault="00311D55" w:rsidP="008632E6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Procédure de suivi de la traçabilité à mettre en place</w:t>
            </w:r>
          </w:p>
        </w:tc>
      </w:tr>
      <w:tr w:rsidR="00F4214C" w:rsidTr="00F4214C">
        <w:tc>
          <w:tcPr>
            <w:tcW w:w="4605" w:type="dxa"/>
          </w:tcPr>
          <w:p w:rsidR="00F4214C" w:rsidRDefault="001420BF" w:rsidP="00835DF3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Changement </w:t>
            </w:r>
            <w:r w:rsidR="00311D55">
              <w:rPr>
                <w:rFonts w:ascii="Verdana" w:hAnsi="Verdana"/>
                <w:sz w:val="20"/>
              </w:rPr>
              <w:t xml:space="preserve">ou non-respect de la </w:t>
            </w:r>
            <w:r>
              <w:rPr>
                <w:rFonts w:ascii="Verdana" w:hAnsi="Verdana"/>
                <w:sz w:val="20"/>
              </w:rPr>
              <w:t>gamme</w:t>
            </w:r>
            <w:r w:rsidR="00311D55">
              <w:rPr>
                <w:rFonts w:ascii="Verdana" w:hAnsi="Verdana"/>
                <w:sz w:val="20"/>
              </w:rPr>
              <w:t xml:space="preserve"> de traitement</w:t>
            </w:r>
          </w:p>
        </w:tc>
        <w:tc>
          <w:tcPr>
            <w:tcW w:w="4605" w:type="dxa"/>
          </w:tcPr>
          <w:p w:rsidR="00F4214C" w:rsidRDefault="00311D55" w:rsidP="008632E6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Procédure pour informer </w:t>
            </w:r>
            <w:proofErr w:type="spellStart"/>
            <w:r>
              <w:rPr>
                <w:rFonts w:ascii="Verdana" w:hAnsi="Verdana"/>
                <w:sz w:val="20"/>
              </w:rPr>
              <w:t>EcoTitanium</w:t>
            </w:r>
            <w:proofErr w:type="spellEnd"/>
            <w:r>
              <w:rPr>
                <w:rFonts w:ascii="Verdana" w:hAnsi="Verdana"/>
                <w:sz w:val="20"/>
              </w:rPr>
              <w:t xml:space="preserve"> en cas de modification ou non-respect identifié de la gamme de traitement et attente de validation d’</w:t>
            </w:r>
            <w:proofErr w:type="spellStart"/>
            <w:r>
              <w:rPr>
                <w:rFonts w:ascii="Verdana" w:hAnsi="Verdana"/>
                <w:sz w:val="20"/>
              </w:rPr>
              <w:t>EcoTitanium</w:t>
            </w:r>
            <w:proofErr w:type="spellEnd"/>
          </w:p>
        </w:tc>
      </w:tr>
      <w:tr w:rsidR="009758C3" w:rsidTr="00475586">
        <w:tc>
          <w:tcPr>
            <w:tcW w:w="4605" w:type="dxa"/>
            <w:vAlign w:val="center"/>
          </w:tcPr>
          <w:p w:rsidR="009758C3" w:rsidRPr="00835DF3" w:rsidRDefault="009758C3" w:rsidP="00475586">
            <w:pPr>
              <w:rPr>
                <w:rFonts w:ascii="Verdana" w:hAnsi="Verdana"/>
                <w:sz w:val="20"/>
              </w:rPr>
            </w:pPr>
            <w:r w:rsidRPr="00835DF3">
              <w:rPr>
                <w:rFonts w:ascii="Verdana" w:hAnsi="Verdana"/>
                <w:sz w:val="20"/>
              </w:rPr>
              <w:t>Malveillance</w:t>
            </w:r>
          </w:p>
        </w:tc>
        <w:tc>
          <w:tcPr>
            <w:tcW w:w="4605" w:type="dxa"/>
          </w:tcPr>
          <w:p w:rsidR="00311D55" w:rsidRDefault="00311D55" w:rsidP="00311D55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Contenants couverts et camion bâché pendant le transport.</w:t>
            </w:r>
          </w:p>
          <w:p w:rsidR="009758C3" w:rsidRPr="00835DF3" w:rsidRDefault="00311D55" w:rsidP="00311D55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Sécurisation des contenants pendant le stockage et/ou du camion pendant transport.</w:t>
            </w:r>
          </w:p>
        </w:tc>
      </w:tr>
    </w:tbl>
    <w:p w:rsidR="00283FDA" w:rsidRPr="00283FDA" w:rsidRDefault="00283FDA" w:rsidP="00283FDA">
      <w:pPr>
        <w:jc w:val="both"/>
        <w:rPr>
          <w:rFonts w:ascii="Verdana" w:hAnsi="Verdana"/>
          <w:sz w:val="20"/>
        </w:rPr>
      </w:pPr>
    </w:p>
    <w:p w:rsidR="00EE061A" w:rsidRDefault="00EE061A" w:rsidP="005767C6">
      <w:pPr>
        <w:pStyle w:val="Titre1"/>
        <w:numPr>
          <w:ilvl w:val="0"/>
          <w:numId w:val="14"/>
        </w:numPr>
        <w:rPr>
          <w:rFonts w:ascii="Verdana" w:hAnsi="Verdana"/>
          <w:sz w:val="28"/>
          <w:szCs w:val="28"/>
          <w:u w:val="single"/>
        </w:rPr>
      </w:pPr>
      <w:bookmarkStart w:id="8" w:name="_Toc436236678"/>
      <w:r>
        <w:rPr>
          <w:rFonts w:ascii="Verdana" w:hAnsi="Verdana"/>
          <w:sz w:val="28"/>
          <w:szCs w:val="28"/>
          <w:u w:val="single"/>
        </w:rPr>
        <w:t>ARCHIVAGE</w:t>
      </w:r>
      <w:bookmarkEnd w:id="8"/>
    </w:p>
    <w:p w:rsidR="00EE061A" w:rsidRPr="00EE061A" w:rsidRDefault="00EE061A" w:rsidP="00EE061A">
      <w:pPr>
        <w:jc w:val="both"/>
        <w:rPr>
          <w:rFonts w:ascii="Verdana" w:hAnsi="Verdana"/>
          <w:sz w:val="20"/>
        </w:rPr>
      </w:pPr>
    </w:p>
    <w:p w:rsidR="00EE061A" w:rsidRDefault="00EE061A" w:rsidP="00EE061A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L’échantillon final, ainsi que les résultats d’analyses et enregistrements de production associés devront être conservés et archivés sur une période de 40 ans.</w:t>
      </w:r>
    </w:p>
    <w:p w:rsidR="00283FDA" w:rsidRPr="00EE061A" w:rsidRDefault="00283FDA" w:rsidP="00EE061A">
      <w:pPr>
        <w:jc w:val="both"/>
        <w:rPr>
          <w:rFonts w:ascii="Verdana" w:hAnsi="Verdana"/>
          <w:sz w:val="20"/>
        </w:rPr>
      </w:pPr>
    </w:p>
    <w:p w:rsidR="005767C6" w:rsidRPr="00AC5ABF" w:rsidRDefault="005767C6" w:rsidP="005767C6">
      <w:pPr>
        <w:pStyle w:val="Titre1"/>
        <w:numPr>
          <w:ilvl w:val="0"/>
          <w:numId w:val="14"/>
        </w:numPr>
        <w:rPr>
          <w:rFonts w:ascii="Verdana" w:hAnsi="Verdana"/>
          <w:sz w:val="28"/>
          <w:szCs w:val="28"/>
          <w:u w:val="single"/>
        </w:rPr>
      </w:pPr>
      <w:bookmarkStart w:id="9" w:name="_Toc436236679"/>
      <w:r>
        <w:rPr>
          <w:rFonts w:ascii="Verdana" w:hAnsi="Verdana"/>
          <w:sz w:val="28"/>
          <w:szCs w:val="28"/>
          <w:u w:val="single"/>
        </w:rPr>
        <w:t>ELEMENTS A FOURNIR</w:t>
      </w:r>
      <w:bookmarkEnd w:id="9"/>
    </w:p>
    <w:p w:rsidR="005478A2" w:rsidRDefault="005478A2" w:rsidP="002B3999">
      <w:pPr>
        <w:spacing w:before="120"/>
        <w:jc w:val="both"/>
        <w:rPr>
          <w:rFonts w:ascii="Verdana" w:hAnsi="Verdana"/>
          <w:sz w:val="20"/>
        </w:rPr>
      </w:pPr>
    </w:p>
    <w:p w:rsidR="007369A5" w:rsidRDefault="00F6186F" w:rsidP="00CA5AC4">
      <w:pPr>
        <w:pStyle w:val="Paragraphedeliste"/>
        <w:numPr>
          <w:ilvl w:val="0"/>
          <w:numId w:val="2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Certificats de conformité (analyses chimiques, bilan matière</w:t>
      </w:r>
      <w:r w:rsidR="00B17C2F">
        <w:rPr>
          <w:rFonts w:ascii="Verdana" w:hAnsi="Verdana"/>
          <w:sz w:val="20"/>
        </w:rPr>
        <w:t>…</w:t>
      </w:r>
      <w:r>
        <w:rPr>
          <w:rFonts w:ascii="Verdana" w:hAnsi="Verdana"/>
          <w:sz w:val="20"/>
        </w:rPr>
        <w:t xml:space="preserve">). Ce document doit être référencé </w:t>
      </w:r>
      <w:r w:rsidR="007369A5">
        <w:rPr>
          <w:rFonts w:ascii="Verdana" w:hAnsi="Verdana"/>
          <w:sz w:val="20"/>
        </w:rPr>
        <w:t xml:space="preserve">avec le numéro d’ordre de traitement et le numéro de commande </w:t>
      </w:r>
      <w:proofErr w:type="spellStart"/>
      <w:r w:rsidR="007369A5">
        <w:rPr>
          <w:rFonts w:ascii="Verdana" w:hAnsi="Verdana"/>
          <w:sz w:val="20"/>
        </w:rPr>
        <w:t>EcoTitanium</w:t>
      </w:r>
      <w:proofErr w:type="spellEnd"/>
      <w:r w:rsidR="007369A5">
        <w:rPr>
          <w:rFonts w:ascii="Verdana" w:hAnsi="Verdana"/>
          <w:sz w:val="20"/>
        </w:rPr>
        <w:t>,…</w:t>
      </w:r>
    </w:p>
    <w:p w:rsidR="000371A4" w:rsidRDefault="00F6186F" w:rsidP="00CA5AC4">
      <w:pPr>
        <w:pStyle w:val="Paragraphedeliste"/>
        <w:numPr>
          <w:ilvl w:val="0"/>
          <w:numId w:val="2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Bon de réception,</w:t>
      </w:r>
    </w:p>
    <w:p w:rsidR="00F6186F" w:rsidRDefault="00F6186F" w:rsidP="00CA5AC4">
      <w:pPr>
        <w:pStyle w:val="Paragraphedeliste"/>
        <w:numPr>
          <w:ilvl w:val="0"/>
          <w:numId w:val="2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Détails complets du lot traité (n° lot</w:t>
      </w:r>
      <w:r w:rsidR="007369A5">
        <w:rPr>
          <w:rFonts w:ascii="Verdana" w:hAnsi="Verdana"/>
          <w:sz w:val="20"/>
        </w:rPr>
        <w:t>s</w:t>
      </w:r>
      <w:r>
        <w:rPr>
          <w:rFonts w:ascii="Verdana" w:hAnsi="Verdana"/>
          <w:sz w:val="20"/>
        </w:rPr>
        <w:t>, nuance</w:t>
      </w:r>
      <w:r w:rsidR="007369A5">
        <w:rPr>
          <w:rFonts w:ascii="Verdana" w:hAnsi="Verdana"/>
          <w:sz w:val="20"/>
        </w:rPr>
        <w:t>, qualités et quantités associées</w:t>
      </w:r>
      <w:r>
        <w:rPr>
          <w:rFonts w:ascii="Verdana" w:hAnsi="Verdana"/>
          <w:sz w:val="20"/>
        </w:rPr>
        <w:t>…),</w:t>
      </w:r>
    </w:p>
    <w:p w:rsidR="00F6186F" w:rsidRDefault="00F6186F" w:rsidP="00CA5AC4">
      <w:pPr>
        <w:pStyle w:val="Paragraphedeliste"/>
        <w:numPr>
          <w:ilvl w:val="0"/>
          <w:numId w:val="2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Ensemble des documents requis spécifiés dans le contrat,</w:t>
      </w:r>
    </w:p>
    <w:p w:rsidR="00F6186F" w:rsidRDefault="00F6186F" w:rsidP="00CA5AC4">
      <w:pPr>
        <w:pStyle w:val="Paragraphedeliste"/>
        <w:numPr>
          <w:ilvl w:val="0"/>
          <w:numId w:val="2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Un double de l’échantillon sur lequel ont été réalisées les analyses finales. </w:t>
      </w:r>
    </w:p>
    <w:p w:rsidR="000371A4" w:rsidRDefault="000371A4" w:rsidP="00CA5AC4">
      <w:pPr>
        <w:pStyle w:val="Paragraphedeliste"/>
        <w:numPr>
          <w:ilvl w:val="0"/>
          <w:numId w:val="2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</w:t>
      </w:r>
    </w:p>
    <w:p w:rsidR="00676F69" w:rsidRDefault="00676F69" w:rsidP="00676F69">
      <w:pPr>
        <w:jc w:val="both"/>
        <w:rPr>
          <w:rFonts w:ascii="Verdana" w:hAnsi="Verdana"/>
          <w:sz w:val="20"/>
        </w:rPr>
      </w:pPr>
    </w:p>
    <w:p w:rsidR="009B307F" w:rsidRDefault="009B307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br w:type="page"/>
      </w:r>
    </w:p>
    <w:p w:rsidR="009B307F" w:rsidRPr="00D91517" w:rsidRDefault="009B307F" w:rsidP="009B307F">
      <w:pPr>
        <w:jc w:val="center"/>
        <w:rPr>
          <w:rFonts w:ascii="Verdana" w:hAnsi="Verdana"/>
          <w:b/>
          <w:sz w:val="22"/>
        </w:rPr>
      </w:pPr>
      <w:r w:rsidRPr="00D91517">
        <w:rPr>
          <w:rFonts w:ascii="Verdana" w:hAnsi="Verdana"/>
          <w:b/>
          <w:sz w:val="22"/>
        </w:rPr>
        <w:lastRenderedPageBreak/>
        <w:t xml:space="preserve">ANNEXE 1 </w:t>
      </w:r>
    </w:p>
    <w:p w:rsidR="009B307F" w:rsidRDefault="009B307F" w:rsidP="009B307F">
      <w:pPr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Gestion des lots de chutes</w:t>
      </w:r>
    </w:p>
    <w:p w:rsidR="009B307F" w:rsidRDefault="009B307F" w:rsidP="009B307F">
      <w:pPr>
        <w:jc w:val="center"/>
        <w:rPr>
          <w:rFonts w:ascii="Verdana" w:hAnsi="Verdana"/>
          <w:b/>
          <w:sz w:val="22"/>
        </w:rPr>
      </w:pPr>
    </w:p>
    <w:p w:rsidR="009B307F" w:rsidRPr="00D91517" w:rsidRDefault="009B307F" w:rsidP="009B307F">
      <w:pPr>
        <w:jc w:val="center"/>
        <w:rPr>
          <w:rFonts w:ascii="Verdana" w:hAnsi="Verdana"/>
          <w:b/>
          <w:sz w:val="22"/>
        </w:rPr>
      </w:pPr>
      <w:r>
        <w:object w:dxaOrig="15797" w:dyaOrig="81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232.5pt" o:ole="">
            <v:imagedata r:id="rId10" o:title=""/>
          </v:shape>
          <o:OLEObject Type="Embed" ProgID="Visio.Drawing.11" ShapeID="_x0000_i1025" DrawAspect="Content" ObjectID="_1510670979" r:id="rId11"/>
        </w:object>
      </w:r>
    </w:p>
    <w:p w:rsidR="00676F69" w:rsidRDefault="00676F69" w:rsidP="00676F69">
      <w:pPr>
        <w:jc w:val="both"/>
        <w:rPr>
          <w:rFonts w:ascii="Verdana" w:hAnsi="Verdana"/>
          <w:sz w:val="20"/>
        </w:rPr>
      </w:pPr>
    </w:p>
    <w:p w:rsidR="00273A27" w:rsidRDefault="00273A27" w:rsidP="00676F69">
      <w:pPr>
        <w:jc w:val="both"/>
        <w:rPr>
          <w:rFonts w:ascii="Verdana" w:hAnsi="Verdana"/>
          <w:sz w:val="20"/>
        </w:rPr>
      </w:pPr>
    </w:p>
    <w:p w:rsidR="00273A27" w:rsidRPr="00D91517" w:rsidRDefault="00273A27" w:rsidP="00273A27">
      <w:pPr>
        <w:jc w:val="center"/>
        <w:rPr>
          <w:rFonts w:ascii="Verdana" w:hAnsi="Verdana"/>
          <w:b/>
          <w:sz w:val="22"/>
        </w:rPr>
      </w:pPr>
      <w:r w:rsidRPr="00D91517">
        <w:rPr>
          <w:rFonts w:ascii="Verdana" w:hAnsi="Verdana"/>
          <w:b/>
          <w:sz w:val="22"/>
        </w:rPr>
        <w:t xml:space="preserve">ANNEXE </w:t>
      </w:r>
      <w:r>
        <w:rPr>
          <w:rFonts w:ascii="Verdana" w:hAnsi="Verdana"/>
          <w:b/>
          <w:sz w:val="22"/>
        </w:rPr>
        <w:t>2</w:t>
      </w:r>
      <w:r w:rsidRPr="00D91517">
        <w:rPr>
          <w:rFonts w:ascii="Verdana" w:hAnsi="Verdana"/>
          <w:b/>
          <w:sz w:val="22"/>
        </w:rPr>
        <w:t xml:space="preserve"> </w:t>
      </w:r>
    </w:p>
    <w:p w:rsidR="00273A27" w:rsidRPr="00D91517" w:rsidRDefault="00273A27" w:rsidP="00273A27">
      <w:pPr>
        <w:jc w:val="center"/>
        <w:rPr>
          <w:rFonts w:ascii="Verdana" w:hAnsi="Verdana"/>
          <w:b/>
          <w:sz w:val="22"/>
        </w:rPr>
      </w:pPr>
      <w:r w:rsidRPr="00D91517">
        <w:rPr>
          <w:rFonts w:ascii="Verdana" w:hAnsi="Verdana"/>
          <w:b/>
          <w:sz w:val="22"/>
        </w:rPr>
        <w:t>Liste de</w:t>
      </w:r>
      <w:r>
        <w:rPr>
          <w:rFonts w:ascii="Verdana" w:hAnsi="Verdana"/>
          <w:b/>
          <w:sz w:val="22"/>
        </w:rPr>
        <w:t>s matériaux interdits lors du traitement de</w:t>
      </w:r>
      <w:r>
        <w:rPr>
          <w:rFonts w:ascii="Verdana" w:hAnsi="Verdana"/>
          <w:b/>
          <w:sz w:val="22"/>
        </w:rPr>
        <w:t>s chutes massives</w:t>
      </w:r>
    </w:p>
    <w:p w:rsidR="00273A27" w:rsidRDefault="00273A27" w:rsidP="00273A27">
      <w:pPr>
        <w:jc w:val="both"/>
        <w:rPr>
          <w:rFonts w:ascii="Verdana" w:hAnsi="Verdana"/>
          <w:sz w:val="20"/>
        </w:rPr>
      </w:pPr>
    </w:p>
    <w:p w:rsidR="00273A27" w:rsidRPr="00D91517" w:rsidRDefault="00273A27" w:rsidP="00273A27">
      <w:pPr>
        <w:jc w:val="both"/>
        <w:rPr>
          <w:rFonts w:ascii="Verdana" w:hAnsi="Verdana"/>
          <w:sz w:val="20"/>
        </w:rPr>
      </w:pPr>
    </w:p>
    <w:p w:rsidR="00273A27" w:rsidRPr="005D5645" w:rsidRDefault="00273A27" w:rsidP="00273A27">
      <w:pPr>
        <w:pStyle w:val="Paragraphedeliste"/>
        <w:numPr>
          <w:ilvl w:val="0"/>
          <w:numId w:val="32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100% d</w:t>
      </w:r>
      <w:r w:rsidRPr="005D5645">
        <w:rPr>
          <w:rFonts w:ascii="Verdana" w:hAnsi="Verdana"/>
          <w:sz w:val="20"/>
        </w:rPr>
        <w:t xml:space="preserve">es éléments présents dans les lots de </w:t>
      </w:r>
      <w:r>
        <w:rPr>
          <w:rFonts w:ascii="Verdana" w:hAnsi="Verdana"/>
          <w:sz w:val="20"/>
        </w:rPr>
        <w:t>chutes massives</w:t>
      </w:r>
      <w:r w:rsidRPr="005D5645">
        <w:rPr>
          <w:rFonts w:ascii="Verdana" w:hAnsi="Verdana"/>
          <w:sz w:val="20"/>
        </w:rPr>
        <w:t xml:space="preserve"> doivent être des matériaux métalliques</w:t>
      </w:r>
      <w:r>
        <w:rPr>
          <w:rFonts w:ascii="Verdana" w:hAnsi="Verdana"/>
          <w:sz w:val="20"/>
        </w:rPr>
        <w:t xml:space="preserve"> (pas d</w:t>
      </w:r>
      <w:r>
        <w:rPr>
          <w:rFonts w:ascii="Verdana" w:hAnsi="Verdana"/>
          <w:sz w:val="20"/>
        </w:rPr>
        <w:t>e bois, plastiques, cartons,…),</w:t>
      </w:r>
    </w:p>
    <w:p w:rsidR="00273A27" w:rsidRDefault="00273A27" w:rsidP="00273A27">
      <w:pPr>
        <w:pStyle w:val="Paragraphedeliste"/>
        <w:numPr>
          <w:ilvl w:val="0"/>
          <w:numId w:val="32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Eléments radioactifs (seuil de radioactivité = 0.36 µSv/h),</w:t>
      </w:r>
    </w:p>
    <w:p w:rsidR="00273A27" w:rsidRDefault="00273A27" w:rsidP="00273A27">
      <w:pPr>
        <w:pStyle w:val="Paragraphedeliste"/>
        <w:numPr>
          <w:ilvl w:val="0"/>
          <w:numId w:val="32"/>
        </w:numPr>
        <w:jc w:val="both"/>
        <w:rPr>
          <w:rFonts w:ascii="Verdana" w:hAnsi="Verdana"/>
          <w:sz w:val="20"/>
        </w:rPr>
      </w:pPr>
      <w:commentRangeStart w:id="10"/>
      <w:r>
        <w:rPr>
          <w:rFonts w:ascii="Verdana" w:hAnsi="Verdana"/>
          <w:sz w:val="20"/>
        </w:rPr>
        <w:t>Produits CMR,</w:t>
      </w:r>
      <w:commentRangeEnd w:id="10"/>
      <w:r>
        <w:rPr>
          <w:rStyle w:val="Marquedecommentaire"/>
        </w:rPr>
        <w:commentReference w:id="10"/>
      </w:r>
    </w:p>
    <w:p w:rsidR="00273A27" w:rsidRDefault="00273A27" w:rsidP="00273A27">
      <w:pPr>
        <w:pStyle w:val="Paragraphedeliste"/>
        <w:numPr>
          <w:ilvl w:val="0"/>
          <w:numId w:val="32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Toute matière réfractaire, </w:t>
      </w:r>
    </w:p>
    <w:p w:rsidR="00273A27" w:rsidRDefault="00273A27" w:rsidP="00273A27">
      <w:pPr>
        <w:pStyle w:val="Paragraphedeliste"/>
        <w:numPr>
          <w:ilvl w:val="0"/>
          <w:numId w:val="32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Tout élément métallique à haut point de fusion (</w:t>
      </w:r>
      <w:proofErr w:type="spellStart"/>
      <w:r>
        <w:rPr>
          <w:rFonts w:ascii="Verdana" w:hAnsi="Verdana"/>
          <w:sz w:val="20"/>
        </w:rPr>
        <w:t>Tfusion</w:t>
      </w:r>
      <w:proofErr w:type="spellEnd"/>
      <w:r>
        <w:rPr>
          <w:rFonts w:ascii="Verdana" w:hAnsi="Verdana"/>
          <w:sz w:val="20"/>
        </w:rPr>
        <w:t xml:space="preserve"> &gt; </w:t>
      </w:r>
      <w:proofErr w:type="spellStart"/>
      <w:r>
        <w:rPr>
          <w:rFonts w:ascii="Verdana" w:hAnsi="Verdana"/>
          <w:sz w:val="20"/>
        </w:rPr>
        <w:t>Tfusion</w:t>
      </w:r>
      <w:proofErr w:type="spellEnd"/>
      <w:r>
        <w:rPr>
          <w:rFonts w:ascii="Verdana" w:hAnsi="Verdana"/>
          <w:sz w:val="20"/>
        </w:rPr>
        <w:t xml:space="preserve"> Titane), </w:t>
      </w:r>
    </w:p>
    <w:p w:rsidR="00273A27" w:rsidRPr="00D91517" w:rsidRDefault="00273A27" w:rsidP="00273A27">
      <w:pPr>
        <w:pStyle w:val="Paragraphedeliste"/>
        <w:numPr>
          <w:ilvl w:val="0"/>
          <w:numId w:val="32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Les éléments métalliques ayant une température de fusion inférieure ou égale à celle du Titane (max : 100 g de copeaux étrangers pour 200 kg de copeaux d’alliages de Titane).</w:t>
      </w:r>
    </w:p>
    <w:p w:rsidR="00C05DBB" w:rsidRDefault="00C05DBB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br w:type="page"/>
      </w:r>
    </w:p>
    <w:p w:rsidR="00C05DBB" w:rsidRPr="00D91517" w:rsidRDefault="00C05DBB" w:rsidP="00C05DBB">
      <w:pPr>
        <w:jc w:val="center"/>
        <w:rPr>
          <w:rFonts w:ascii="Verdana" w:hAnsi="Verdana"/>
          <w:b/>
          <w:sz w:val="22"/>
        </w:rPr>
      </w:pPr>
      <w:r w:rsidRPr="00D91517">
        <w:rPr>
          <w:rFonts w:ascii="Verdana" w:hAnsi="Verdana"/>
          <w:b/>
          <w:sz w:val="22"/>
        </w:rPr>
        <w:lastRenderedPageBreak/>
        <w:t xml:space="preserve">ANNEXE </w:t>
      </w:r>
      <w:r>
        <w:rPr>
          <w:rFonts w:ascii="Verdana" w:hAnsi="Verdana"/>
          <w:b/>
          <w:sz w:val="22"/>
        </w:rPr>
        <w:t>3</w:t>
      </w:r>
      <w:r w:rsidRPr="00D91517">
        <w:rPr>
          <w:rFonts w:ascii="Verdana" w:hAnsi="Verdana"/>
          <w:b/>
          <w:sz w:val="22"/>
        </w:rPr>
        <w:t xml:space="preserve"> </w:t>
      </w:r>
    </w:p>
    <w:p w:rsidR="00C05DBB" w:rsidRPr="00D91517" w:rsidRDefault="00C05DBB" w:rsidP="00C05DBB">
      <w:pPr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 xml:space="preserve">Tableau des responsabilités </w:t>
      </w:r>
    </w:p>
    <w:p w:rsidR="00C05DBB" w:rsidRPr="00260015" w:rsidRDefault="00C05DBB" w:rsidP="00C05DBB">
      <w:pPr>
        <w:jc w:val="both"/>
        <w:rPr>
          <w:rFonts w:ascii="Verdana" w:hAnsi="Verdana"/>
          <w:sz w:val="20"/>
        </w:rPr>
      </w:pPr>
      <w:r>
        <w:object w:dxaOrig="9731" w:dyaOrig="14409">
          <v:shape id="_x0000_i1027" type="#_x0000_t75" style="width:413.25pt;height:612pt" o:ole="">
            <v:imagedata r:id="rId12" o:title=""/>
          </v:shape>
          <o:OLEObject Type="Embed" ProgID="Visio.Drawing.11" ShapeID="_x0000_i1027" DrawAspect="Content" ObjectID="_1510670980" r:id="rId13"/>
        </w:object>
      </w:r>
    </w:p>
    <w:p w:rsidR="00273A27" w:rsidRDefault="00273A27" w:rsidP="00676F69">
      <w:pPr>
        <w:jc w:val="both"/>
        <w:rPr>
          <w:rFonts w:ascii="Verdana" w:hAnsi="Verdana"/>
          <w:sz w:val="20"/>
        </w:rPr>
      </w:pPr>
    </w:p>
    <w:sectPr w:rsidR="00273A27" w:rsidSect="00FC4CCA">
      <w:headerReference w:type="default" r:id="rId14"/>
      <w:pgSz w:w="11906" w:h="16838" w:code="9"/>
      <w:pgMar w:top="1418" w:right="1418" w:bottom="454" w:left="1418" w:header="505" w:footer="709" w:gutter="0"/>
      <w:pgBorders w:offsetFrom="page">
        <w:top w:val="single" w:sz="12" w:space="24" w:color="auto"/>
        <w:left w:val="single" w:sz="12" w:space="31" w:color="auto"/>
        <w:bottom w:val="single" w:sz="12" w:space="24" w:color="auto"/>
        <w:right w:val="single" w:sz="12" w:space="22" w:color="auto"/>
      </w:pgBorders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" w:author="Jessica Escaffre" w:date="2015-09-21T16:45:00Z" w:initials="JE">
    <w:p w:rsidR="00D8183B" w:rsidRDefault="00D8183B">
      <w:pPr>
        <w:pStyle w:val="Commentaire"/>
      </w:pPr>
      <w:r>
        <w:rPr>
          <w:rStyle w:val="Marquedecommentaire"/>
        </w:rPr>
        <w:annotationRef/>
      </w:r>
      <w:r>
        <w:t>Voir MJ Schaff</w:t>
      </w:r>
    </w:p>
  </w:comment>
  <w:comment w:id="6" w:author="Jessica Escaffre" w:date="2015-10-14T17:12:00Z" w:initials="JE">
    <w:p w:rsidR="001420BF" w:rsidRDefault="001420BF">
      <w:pPr>
        <w:pStyle w:val="Commentaire"/>
      </w:pPr>
      <w:r>
        <w:rPr>
          <w:rStyle w:val="Marquedecommentaire"/>
        </w:rPr>
        <w:annotationRef/>
      </w:r>
      <w:r>
        <w:t>A définir dans le contrat</w:t>
      </w:r>
    </w:p>
  </w:comment>
  <w:comment w:id="10" w:author="Jessica Escaffre" w:date="2015-12-03T17:31:00Z" w:initials="JE">
    <w:p w:rsidR="00273A27" w:rsidRDefault="00273A27" w:rsidP="00273A27">
      <w:pPr>
        <w:pStyle w:val="Commentaire"/>
      </w:pPr>
      <w:r>
        <w:rPr>
          <w:rStyle w:val="Marquedecommentaire"/>
        </w:rPr>
        <w:annotationRef/>
      </w:r>
      <w:r>
        <w:t xml:space="preserve">Voir </w:t>
      </w:r>
      <w:proofErr w:type="spellStart"/>
      <w:r>
        <w:t>F.Bernard</w:t>
      </w:r>
      <w:proofErr w:type="spellEnd"/>
      <w:r>
        <w:t xml:space="preserve"> ou </w:t>
      </w:r>
      <w:proofErr w:type="spellStart"/>
      <w:r>
        <w:t>L.Vialatte</w:t>
      </w:r>
      <w:proofErr w:type="spellEnd"/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BC6" w:rsidRDefault="009C3BC6">
      <w:r>
        <w:separator/>
      </w:r>
    </w:p>
  </w:endnote>
  <w:endnote w:type="continuationSeparator" w:id="0">
    <w:p w:rsidR="009C3BC6" w:rsidRDefault="009C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BC6" w:rsidRDefault="009C3BC6">
      <w:r>
        <w:separator/>
      </w:r>
    </w:p>
  </w:footnote>
  <w:footnote w:type="continuationSeparator" w:id="0">
    <w:p w:rsidR="009C3BC6" w:rsidRDefault="009C3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850" w:type="pct"/>
      <w:tblInd w:w="-709" w:type="dxa"/>
      <w:tblBorders>
        <w:bottom w:val="single" w:sz="12" w:space="0" w:color="auto"/>
        <w:insideH w:val="single" w:sz="12" w:space="0" w:color="auto"/>
        <w:insideV w:val="single" w:sz="12" w:space="0" w:color="auto"/>
      </w:tblBorders>
      <w:tblLook w:val="01E0" w:firstRow="1" w:lastRow="1" w:firstColumn="1" w:lastColumn="1" w:noHBand="0" w:noVBand="0"/>
    </w:tblPr>
    <w:tblGrid>
      <w:gridCol w:w="2888"/>
      <w:gridCol w:w="7977"/>
    </w:tblGrid>
    <w:tr w:rsidR="00D17567" w:rsidTr="00D17567">
      <w:trPr>
        <w:trHeight w:val="1456"/>
        <w:tblHeader/>
      </w:trPr>
      <w:tc>
        <w:tcPr>
          <w:tcW w:w="1329" w:type="pct"/>
          <w:vAlign w:val="center"/>
        </w:tcPr>
        <w:p w:rsidR="00D17567" w:rsidRPr="00D17567" w:rsidRDefault="00D17567" w:rsidP="00D17567">
          <w:pPr>
            <w:pStyle w:val="Corpsdetexte3"/>
            <w:jc w:val="center"/>
            <w:rPr>
              <w:noProof/>
              <w:lang w:val="en-US" w:eastAsia="en-US"/>
            </w:rPr>
          </w:pPr>
          <w:r>
            <w:rPr>
              <w:noProof/>
            </w:rPr>
            <w:drawing>
              <wp:inline distT="0" distB="0" distL="0" distR="0" wp14:anchorId="498A4D76" wp14:editId="59CA8B98">
                <wp:extent cx="1696662" cy="923925"/>
                <wp:effectExtent l="0" t="0" r="0" b="0"/>
                <wp:docPr id="1" name="Image 1" descr="C:\Users\raymond.allier\Documents\Data\Elaboration Ancizes\Projet PAMCHR\Logo EcoTitanium\Logo_EcoTitanium_rv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aymond.allier\Documents\Data\Elaboration Ancizes\Projet PAMCHR\Logo EcoTitanium\Logo_EcoTitanium_rv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6662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71" w:type="pct"/>
          <w:vAlign w:val="center"/>
        </w:tcPr>
        <w:p w:rsidR="00D17567" w:rsidRPr="00750B7D" w:rsidRDefault="00D17567" w:rsidP="00A70071">
          <w:pPr>
            <w:jc w:val="center"/>
            <w:rPr>
              <w:rFonts w:ascii="Verdana" w:hAnsi="Verdana"/>
              <w:b/>
              <w:bCs/>
              <w:color w:val="000000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Verdana" w:hAnsi="Verdana"/>
              <w:b/>
              <w:bCs/>
              <w:color w:val="000000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CAHIER DES CHARGE</w:t>
          </w:r>
          <w:r w:rsidRPr="00750B7D">
            <w:rPr>
              <w:rFonts w:ascii="Verdana" w:hAnsi="Verdana"/>
              <w:b/>
              <w:bCs/>
              <w:color w:val="000000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S</w:t>
          </w:r>
        </w:p>
        <w:p w:rsidR="00F248FE" w:rsidRDefault="008C1EDD" w:rsidP="00D54DBE">
          <w:pPr>
            <w:pStyle w:val="Corpsdetexte3"/>
            <w:jc w:val="center"/>
            <w:rPr>
              <w:rFonts w:ascii="Verdana" w:hAnsi="Verdana"/>
              <w:b/>
              <w:bCs/>
              <w:color w:val="1BAE8F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Verdana" w:hAnsi="Verdana"/>
              <w:b/>
              <w:bCs/>
              <w:color w:val="1BAE8F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T</w:t>
          </w:r>
          <w:r w:rsidR="00D54DBE">
            <w:rPr>
              <w:rFonts w:ascii="Verdana" w:hAnsi="Verdana"/>
              <w:b/>
              <w:bCs/>
              <w:color w:val="1BAE8F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RAITEMENT </w:t>
          </w:r>
          <w:r w:rsidR="00D17567" w:rsidRPr="004A2DD9">
            <w:rPr>
              <w:rFonts w:ascii="Verdana" w:hAnsi="Verdana"/>
              <w:b/>
              <w:bCs/>
              <w:color w:val="1BAE8F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DES </w:t>
          </w:r>
          <w:r w:rsidR="001A10D1">
            <w:rPr>
              <w:rFonts w:ascii="Verdana" w:hAnsi="Verdana"/>
              <w:b/>
              <w:bCs/>
              <w:color w:val="1BAE8F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CHUTES MASSIVES</w:t>
          </w:r>
          <w:r w:rsidR="00D17567" w:rsidRPr="004A2DD9">
            <w:rPr>
              <w:rFonts w:ascii="Verdana" w:hAnsi="Verdana"/>
              <w:b/>
              <w:bCs/>
              <w:color w:val="1BAE8F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</w:p>
        <w:p w:rsidR="00D17567" w:rsidRPr="004A2DD9" w:rsidRDefault="00D17567" w:rsidP="00D54DBE">
          <w:pPr>
            <w:pStyle w:val="Corpsdetexte3"/>
            <w:jc w:val="center"/>
            <w:rPr>
              <w:rFonts w:ascii="Times New Roman" w:hAnsi="Times New Roman"/>
              <w:b/>
              <w:color w:val="1BAE8F"/>
            </w:rPr>
          </w:pPr>
          <w:r w:rsidRPr="004A2DD9">
            <w:rPr>
              <w:rFonts w:ascii="Verdana" w:hAnsi="Verdana"/>
              <w:b/>
              <w:bCs/>
              <w:color w:val="1BAE8F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POUR APPLICATION PAMCHR</w:t>
          </w:r>
        </w:p>
      </w:tc>
    </w:tr>
    <w:tr w:rsidR="00D17567" w:rsidTr="00D17567">
      <w:trPr>
        <w:trHeight w:val="919"/>
        <w:tblHeader/>
      </w:trPr>
      <w:tc>
        <w:tcPr>
          <w:tcW w:w="1329" w:type="pct"/>
          <w:vAlign w:val="center"/>
        </w:tcPr>
        <w:p w:rsidR="00D17567" w:rsidRDefault="006244E7" w:rsidP="00D17567">
          <w:pPr>
            <w:jc w:val="center"/>
            <w:rPr>
              <w:rFonts w:ascii="Verdana" w:hAnsi="Verdana"/>
              <w:b/>
              <w:noProof/>
              <w:sz w:val="20"/>
            </w:rPr>
          </w:pPr>
          <w:r>
            <w:rPr>
              <w:rFonts w:ascii="Verdana" w:hAnsi="Verdana"/>
              <w:b/>
              <w:noProof/>
              <w:sz w:val="20"/>
            </w:rPr>
            <w:t>REF</w:t>
          </w:r>
          <w:r w:rsidR="00D17567" w:rsidRPr="00D17567">
            <w:rPr>
              <w:rFonts w:ascii="Verdana" w:hAnsi="Verdana"/>
              <w:b/>
              <w:noProof/>
              <w:sz w:val="20"/>
            </w:rPr>
            <w:t xml:space="preserve"> : </w:t>
          </w:r>
        </w:p>
        <w:p w:rsidR="00D17567" w:rsidRPr="00D17567" w:rsidRDefault="00D17567" w:rsidP="00D17567">
          <w:pPr>
            <w:jc w:val="center"/>
            <w:rPr>
              <w:rFonts w:ascii="Verdana" w:hAnsi="Verdana"/>
              <w:b/>
              <w:noProof/>
              <w:sz w:val="20"/>
            </w:rPr>
          </w:pPr>
          <w:r w:rsidRPr="00D17567">
            <w:rPr>
              <w:rStyle w:val="Numrodepage"/>
              <w:rFonts w:ascii="Verdana" w:hAnsi="Verdana"/>
              <w:b/>
              <w:sz w:val="20"/>
            </w:rPr>
            <w:t>Version</w:t>
          </w:r>
          <w:r w:rsidR="008304BF">
            <w:rPr>
              <w:rStyle w:val="Numrodepage"/>
              <w:rFonts w:ascii="Verdana" w:hAnsi="Verdana"/>
              <w:b/>
              <w:sz w:val="20"/>
            </w:rPr>
            <w:t xml:space="preserve"> </w:t>
          </w:r>
          <w:r w:rsidR="001A10D1">
            <w:rPr>
              <w:rStyle w:val="Numrodepage"/>
              <w:rFonts w:ascii="Verdana" w:hAnsi="Verdana"/>
              <w:b/>
              <w:sz w:val="20"/>
            </w:rPr>
            <w:t>1</w:t>
          </w:r>
        </w:p>
        <w:p w:rsidR="00D17567" w:rsidRPr="00D17567" w:rsidRDefault="001A10D1" w:rsidP="00D17567">
          <w:pPr>
            <w:jc w:val="center"/>
            <w:rPr>
              <w:rFonts w:ascii="Verdana" w:hAnsi="Verdana"/>
              <w:b/>
              <w:sz w:val="20"/>
            </w:rPr>
          </w:pPr>
          <w:r>
            <w:rPr>
              <w:rFonts w:ascii="Verdana" w:hAnsi="Verdana"/>
              <w:b/>
              <w:sz w:val="20"/>
            </w:rPr>
            <w:t>23</w:t>
          </w:r>
          <w:r w:rsidR="00D17567" w:rsidRPr="00D17567">
            <w:rPr>
              <w:rFonts w:ascii="Verdana" w:hAnsi="Verdana"/>
              <w:b/>
              <w:sz w:val="20"/>
            </w:rPr>
            <w:t>/</w:t>
          </w:r>
          <w:r w:rsidR="00F37395">
            <w:rPr>
              <w:rFonts w:ascii="Verdana" w:hAnsi="Verdana"/>
              <w:b/>
              <w:sz w:val="20"/>
            </w:rPr>
            <w:t>1</w:t>
          </w:r>
          <w:r>
            <w:rPr>
              <w:rFonts w:ascii="Verdana" w:hAnsi="Verdana"/>
              <w:b/>
              <w:sz w:val="20"/>
            </w:rPr>
            <w:t>1</w:t>
          </w:r>
          <w:r w:rsidR="00D17567" w:rsidRPr="00D17567">
            <w:rPr>
              <w:rFonts w:ascii="Verdana" w:hAnsi="Verdana"/>
              <w:b/>
              <w:sz w:val="20"/>
            </w:rPr>
            <w:t>/2015</w:t>
          </w:r>
        </w:p>
        <w:p w:rsidR="00D17567" w:rsidRPr="00D17567" w:rsidRDefault="00D17567" w:rsidP="00D17567">
          <w:pPr>
            <w:pStyle w:val="Corpsdetexte3"/>
            <w:jc w:val="center"/>
            <w:rPr>
              <w:rFonts w:ascii="Verdana" w:hAnsi="Verdana"/>
              <w:b/>
              <w:color w:val="auto"/>
              <w:sz w:val="20"/>
              <w:szCs w:val="24"/>
            </w:rPr>
          </w:pPr>
          <w:r w:rsidRPr="00D17567">
            <w:rPr>
              <w:rFonts w:ascii="Verdana" w:hAnsi="Verdana"/>
              <w:b/>
              <w:color w:val="auto"/>
              <w:sz w:val="20"/>
              <w:szCs w:val="24"/>
            </w:rPr>
            <w:t xml:space="preserve">Page  </w:t>
          </w:r>
          <w:r w:rsidRPr="00D17567">
            <w:rPr>
              <w:rStyle w:val="Numrodepage"/>
              <w:rFonts w:ascii="Verdana" w:hAnsi="Verdana"/>
              <w:b/>
              <w:color w:val="auto"/>
              <w:sz w:val="20"/>
              <w:szCs w:val="24"/>
            </w:rPr>
            <w:fldChar w:fldCharType="begin"/>
          </w:r>
          <w:r w:rsidRPr="00D17567">
            <w:rPr>
              <w:rStyle w:val="Numrodepage"/>
              <w:rFonts w:ascii="Verdana" w:hAnsi="Verdana"/>
              <w:b/>
              <w:color w:val="auto"/>
              <w:sz w:val="20"/>
              <w:szCs w:val="24"/>
            </w:rPr>
            <w:instrText xml:space="preserve"> PAGE </w:instrText>
          </w:r>
          <w:r w:rsidRPr="00D17567">
            <w:rPr>
              <w:rStyle w:val="Numrodepage"/>
              <w:rFonts w:ascii="Verdana" w:hAnsi="Verdana"/>
              <w:b/>
              <w:color w:val="auto"/>
              <w:sz w:val="20"/>
              <w:szCs w:val="24"/>
            </w:rPr>
            <w:fldChar w:fldCharType="separate"/>
          </w:r>
          <w:r w:rsidR="0083790E">
            <w:rPr>
              <w:rStyle w:val="Numrodepage"/>
              <w:rFonts w:ascii="Verdana" w:hAnsi="Verdana"/>
              <w:b/>
              <w:noProof/>
              <w:color w:val="auto"/>
              <w:sz w:val="20"/>
              <w:szCs w:val="24"/>
            </w:rPr>
            <w:t>1</w:t>
          </w:r>
          <w:r w:rsidRPr="00D17567">
            <w:rPr>
              <w:rStyle w:val="Numrodepage"/>
              <w:rFonts w:ascii="Verdana" w:hAnsi="Verdana"/>
              <w:b/>
              <w:color w:val="auto"/>
              <w:sz w:val="20"/>
              <w:szCs w:val="24"/>
            </w:rPr>
            <w:fldChar w:fldCharType="end"/>
          </w:r>
          <w:r w:rsidRPr="00D17567">
            <w:rPr>
              <w:rFonts w:ascii="Verdana" w:hAnsi="Verdana"/>
              <w:b/>
              <w:color w:val="auto"/>
              <w:sz w:val="20"/>
              <w:szCs w:val="24"/>
            </w:rPr>
            <w:t xml:space="preserve"> / </w:t>
          </w:r>
          <w:r w:rsidRPr="00D17567">
            <w:rPr>
              <w:rStyle w:val="Numrodepage"/>
              <w:rFonts w:ascii="Verdana" w:hAnsi="Verdana"/>
              <w:b/>
              <w:color w:val="auto"/>
              <w:sz w:val="20"/>
              <w:szCs w:val="24"/>
            </w:rPr>
            <w:fldChar w:fldCharType="begin"/>
          </w:r>
          <w:r w:rsidRPr="00D17567">
            <w:rPr>
              <w:rStyle w:val="Numrodepage"/>
              <w:rFonts w:ascii="Verdana" w:hAnsi="Verdana"/>
              <w:b/>
              <w:color w:val="auto"/>
              <w:sz w:val="20"/>
              <w:szCs w:val="24"/>
            </w:rPr>
            <w:instrText xml:space="preserve"> NUMPAGES </w:instrText>
          </w:r>
          <w:r w:rsidRPr="00D17567">
            <w:rPr>
              <w:rStyle w:val="Numrodepage"/>
              <w:rFonts w:ascii="Verdana" w:hAnsi="Verdana"/>
              <w:b/>
              <w:color w:val="auto"/>
              <w:sz w:val="20"/>
              <w:szCs w:val="24"/>
            </w:rPr>
            <w:fldChar w:fldCharType="separate"/>
          </w:r>
          <w:r w:rsidR="0083790E">
            <w:rPr>
              <w:rStyle w:val="Numrodepage"/>
              <w:rFonts w:ascii="Verdana" w:hAnsi="Verdana"/>
              <w:b/>
              <w:noProof/>
              <w:color w:val="auto"/>
              <w:sz w:val="20"/>
              <w:szCs w:val="24"/>
            </w:rPr>
            <w:t>9</w:t>
          </w:r>
          <w:r w:rsidRPr="00D17567">
            <w:rPr>
              <w:rStyle w:val="Numrodepage"/>
              <w:rFonts w:ascii="Verdana" w:hAnsi="Verdana"/>
              <w:b/>
              <w:color w:val="auto"/>
              <w:sz w:val="20"/>
              <w:szCs w:val="24"/>
            </w:rPr>
            <w:fldChar w:fldCharType="end"/>
          </w:r>
        </w:p>
      </w:tc>
      <w:tc>
        <w:tcPr>
          <w:tcW w:w="3671" w:type="pct"/>
          <w:vAlign w:val="center"/>
        </w:tcPr>
        <w:p w:rsidR="00D17567" w:rsidRPr="00D17567" w:rsidRDefault="00D17567" w:rsidP="001A10D1">
          <w:pPr>
            <w:jc w:val="both"/>
            <w:rPr>
              <w:rFonts w:ascii="Verdana" w:hAnsi="Verdana"/>
              <w:b/>
            </w:rPr>
          </w:pPr>
          <w:r w:rsidRPr="00D17567">
            <w:rPr>
              <w:rFonts w:ascii="Verdana" w:hAnsi="Verdana"/>
              <w:b/>
              <w:sz w:val="22"/>
            </w:rPr>
            <w:t xml:space="preserve">Prestation : </w:t>
          </w:r>
          <w:r w:rsidR="00D54DBE">
            <w:rPr>
              <w:rFonts w:ascii="Verdana" w:hAnsi="Verdana"/>
              <w:b/>
              <w:sz w:val="22"/>
            </w:rPr>
            <w:t>Traitement</w:t>
          </w:r>
          <w:r w:rsidR="008C1EDD">
            <w:rPr>
              <w:rFonts w:ascii="Verdana" w:hAnsi="Verdana"/>
              <w:b/>
              <w:sz w:val="22"/>
            </w:rPr>
            <w:t xml:space="preserve"> </w:t>
          </w:r>
          <w:r w:rsidRPr="00D17567">
            <w:rPr>
              <w:rFonts w:ascii="Verdana" w:hAnsi="Verdana"/>
              <w:b/>
              <w:sz w:val="22"/>
            </w:rPr>
            <w:t xml:space="preserve">de </w:t>
          </w:r>
          <w:r w:rsidR="001A10D1">
            <w:rPr>
              <w:rFonts w:ascii="Verdana" w:hAnsi="Verdana"/>
              <w:b/>
              <w:sz w:val="22"/>
            </w:rPr>
            <w:t>chutes massives</w:t>
          </w:r>
        </w:p>
      </w:tc>
    </w:tr>
  </w:tbl>
  <w:p w:rsidR="005D73DF" w:rsidRDefault="005D73D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67F8"/>
    <w:multiLevelType w:val="hybridMultilevel"/>
    <w:tmpl w:val="0476A2E8"/>
    <w:lvl w:ilvl="0" w:tplc="151E84F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4402E"/>
    <w:multiLevelType w:val="hybridMultilevel"/>
    <w:tmpl w:val="A9DE1D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91C6E"/>
    <w:multiLevelType w:val="hybridMultilevel"/>
    <w:tmpl w:val="9762074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029A0"/>
    <w:multiLevelType w:val="hybridMultilevel"/>
    <w:tmpl w:val="3BF0DB4C"/>
    <w:lvl w:ilvl="0" w:tplc="E4AE6E4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5467E"/>
    <w:multiLevelType w:val="hybridMultilevel"/>
    <w:tmpl w:val="16CCCFE4"/>
    <w:lvl w:ilvl="0" w:tplc="040C0013">
      <w:start w:val="1"/>
      <w:numFmt w:val="upperRoman"/>
      <w:lvlText w:val="%1."/>
      <w:lvlJc w:val="righ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1C7E3D1C"/>
    <w:multiLevelType w:val="hybridMultilevel"/>
    <w:tmpl w:val="58760096"/>
    <w:lvl w:ilvl="0" w:tplc="5A2A7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B02B24"/>
    <w:multiLevelType w:val="hybridMultilevel"/>
    <w:tmpl w:val="9ED84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6E15B3"/>
    <w:multiLevelType w:val="hybridMultilevel"/>
    <w:tmpl w:val="EEF6E5F8"/>
    <w:lvl w:ilvl="0" w:tplc="F0BE30C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AC4CFA"/>
    <w:multiLevelType w:val="hybridMultilevel"/>
    <w:tmpl w:val="3ADC8D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7115CC"/>
    <w:multiLevelType w:val="hybridMultilevel"/>
    <w:tmpl w:val="B2782AB6"/>
    <w:lvl w:ilvl="0" w:tplc="040C0019">
      <w:start w:val="1"/>
      <w:numFmt w:val="lowerLetter"/>
      <w:lvlText w:val="%1."/>
      <w:lvlJc w:val="left"/>
      <w:pPr>
        <w:tabs>
          <w:tab w:val="num" w:pos="2484"/>
        </w:tabs>
        <w:ind w:left="2484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0">
    <w:nsid w:val="2C074F12"/>
    <w:multiLevelType w:val="hybridMultilevel"/>
    <w:tmpl w:val="18B2CCCA"/>
    <w:lvl w:ilvl="0" w:tplc="F7341A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BB0F37"/>
    <w:multiLevelType w:val="hybridMultilevel"/>
    <w:tmpl w:val="E9F8772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3DF4079"/>
    <w:multiLevelType w:val="hybridMultilevel"/>
    <w:tmpl w:val="10C4ABC0"/>
    <w:lvl w:ilvl="0" w:tplc="5A2A7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0501AE"/>
    <w:multiLevelType w:val="hybridMultilevel"/>
    <w:tmpl w:val="06D68916"/>
    <w:lvl w:ilvl="0" w:tplc="040C0019">
      <w:start w:val="1"/>
      <w:numFmt w:val="lowerLetter"/>
      <w:lvlText w:val="%1."/>
      <w:lvlJc w:val="left"/>
      <w:pPr>
        <w:tabs>
          <w:tab w:val="num" w:pos="2484"/>
        </w:tabs>
        <w:ind w:left="2484" w:hanging="360"/>
      </w:pPr>
    </w:lvl>
    <w:lvl w:ilvl="1" w:tplc="040C000F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4">
    <w:nsid w:val="3B1D1534"/>
    <w:multiLevelType w:val="hybridMultilevel"/>
    <w:tmpl w:val="070228A6"/>
    <w:lvl w:ilvl="0" w:tplc="040C0013">
      <w:start w:val="1"/>
      <w:numFmt w:val="upperRoman"/>
      <w:lvlText w:val="%1."/>
      <w:lvlJc w:val="righ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3EFF0E70"/>
    <w:multiLevelType w:val="hybridMultilevel"/>
    <w:tmpl w:val="4B5A3CB2"/>
    <w:lvl w:ilvl="0" w:tplc="040C0013">
      <w:start w:val="1"/>
      <w:numFmt w:val="upperRoman"/>
      <w:lvlText w:val="%1."/>
      <w:lvlJc w:val="right"/>
      <w:pPr>
        <w:tabs>
          <w:tab w:val="num" w:pos="1496"/>
        </w:tabs>
        <w:ind w:left="1496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16"/>
        </w:tabs>
        <w:ind w:left="221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36"/>
        </w:tabs>
        <w:ind w:left="293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56"/>
        </w:tabs>
        <w:ind w:left="365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76"/>
        </w:tabs>
        <w:ind w:left="437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96"/>
        </w:tabs>
        <w:ind w:left="509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16"/>
        </w:tabs>
        <w:ind w:left="581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36"/>
        </w:tabs>
        <w:ind w:left="653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56"/>
        </w:tabs>
        <w:ind w:left="7256" w:hanging="180"/>
      </w:pPr>
    </w:lvl>
  </w:abstractNum>
  <w:abstractNum w:abstractNumId="16">
    <w:nsid w:val="417C78B7"/>
    <w:multiLevelType w:val="hybridMultilevel"/>
    <w:tmpl w:val="2BAA6BDE"/>
    <w:lvl w:ilvl="0" w:tplc="040C0013">
      <w:start w:val="1"/>
      <w:numFmt w:val="upperRoman"/>
      <w:lvlText w:val="%1."/>
      <w:lvlJc w:val="righ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446A65FE"/>
    <w:multiLevelType w:val="hybridMultilevel"/>
    <w:tmpl w:val="C332C8CC"/>
    <w:lvl w:ilvl="0" w:tplc="F0BE30C8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313286"/>
    <w:multiLevelType w:val="hybridMultilevel"/>
    <w:tmpl w:val="0D12C9B6"/>
    <w:lvl w:ilvl="0" w:tplc="040C0019">
      <w:start w:val="1"/>
      <w:numFmt w:val="lowerLetter"/>
      <w:lvlText w:val="%1."/>
      <w:lvlJc w:val="left"/>
      <w:pPr>
        <w:tabs>
          <w:tab w:val="num" w:pos="2484"/>
        </w:tabs>
        <w:ind w:left="2484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9">
    <w:nsid w:val="4CEC4220"/>
    <w:multiLevelType w:val="hybridMultilevel"/>
    <w:tmpl w:val="AE242136"/>
    <w:lvl w:ilvl="0" w:tplc="E66C6E8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C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C0019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</w:lvl>
    <w:lvl w:ilvl="3" w:tplc="3D6A798A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38BCE5AA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3CBED9C6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FE32735E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80664C34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E9A05B54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0">
    <w:nsid w:val="57870EBB"/>
    <w:multiLevelType w:val="hybridMultilevel"/>
    <w:tmpl w:val="A2925EB0"/>
    <w:lvl w:ilvl="0" w:tplc="F31ACA90">
      <w:start w:val="1"/>
      <w:numFmt w:val="upperRoman"/>
      <w:pStyle w:val="Sous-titre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66BC7"/>
    <w:multiLevelType w:val="hybridMultilevel"/>
    <w:tmpl w:val="8748540A"/>
    <w:lvl w:ilvl="0" w:tplc="C172B7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966F04"/>
    <w:multiLevelType w:val="hybridMultilevel"/>
    <w:tmpl w:val="8C18EA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1F22DD"/>
    <w:multiLevelType w:val="hybridMultilevel"/>
    <w:tmpl w:val="C360F0BE"/>
    <w:lvl w:ilvl="0" w:tplc="F2D6C4C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DF1CF4"/>
    <w:multiLevelType w:val="hybridMultilevel"/>
    <w:tmpl w:val="C5C810D4"/>
    <w:lvl w:ilvl="0" w:tplc="5A2A7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053793"/>
    <w:multiLevelType w:val="hybridMultilevel"/>
    <w:tmpl w:val="416677DC"/>
    <w:lvl w:ilvl="0" w:tplc="040C0013">
      <w:start w:val="1"/>
      <w:numFmt w:val="upperRoman"/>
      <w:lvlText w:val="%1."/>
      <w:lvlJc w:val="right"/>
      <w:pPr>
        <w:tabs>
          <w:tab w:val="num" w:pos="1496"/>
        </w:tabs>
        <w:ind w:left="1496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16"/>
        </w:tabs>
        <w:ind w:left="221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36"/>
        </w:tabs>
        <w:ind w:left="293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56"/>
        </w:tabs>
        <w:ind w:left="365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76"/>
        </w:tabs>
        <w:ind w:left="437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96"/>
        </w:tabs>
        <w:ind w:left="509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16"/>
        </w:tabs>
        <w:ind w:left="581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36"/>
        </w:tabs>
        <w:ind w:left="653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56"/>
        </w:tabs>
        <w:ind w:left="7256" w:hanging="180"/>
      </w:pPr>
    </w:lvl>
  </w:abstractNum>
  <w:abstractNum w:abstractNumId="26">
    <w:nsid w:val="744F526C"/>
    <w:multiLevelType w:val="hybridMultilevel"/>
    <w:tmpl w:val="F6DE57A2"/>
    <w:lvl w:ilvl="0" w:tplc="7C00A75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8A0431"/>
    <w:multiLevelType w:val="hybridMultilevel"/>
    <w:tmpl w:val="DD7EBF0A"/>
    <w:lvl w:ilvl="0" w:tplc="040C0019">
      <w:start w:val="1"/>
      <w:numFmt w:val="lowerLetter"/>
      <w:lvlText w:val="%1."/>
      <w:lvlJc w:val="left"/>
      <w:pPr>
        <w:tabs>
          <w:tab w:val="num" w:pos="2484"/>
        </w:tabs>
        <w:ind w:left="2484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8">
    <w:nsid w:val="79C55F95"/>
    <w:multiLevelType w:val="hybridMultilevel"/>
    <w:tmpl w:val="605C3DB4"/>
    <w:lvl w:ilvl="0" w:tplc="040C0019">
      <w:start w:val="1"/>
      <w:numFmt w:val="lowerLetter"/>
      <w:lvlText w:val="%1."/>
      <w:lvlJc w:val="left"/>
      <w:pPr>
        <w:tabs>
          <w:tab w:val="num" w:pos="2484"/>
        </w:tabs>
        <w:ind w:left="2484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9">
    <w:nsid w:val="7DA02D57"/>
    <w:multiLevelType w:val="hybridMultilevel"/>
    <w:tmpl w:val="D4F429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27"/>
  </w:num>
  <w:num w:numId="4">
    <w:abstractNumId w:val="9"/>
  </w:num>
  <w:num w:numId="5">
    <w:abstractNumId w:val="28"/>
  </w:num>
  <w:num w:numId="6">
    <w:abstractNumId w:val="13"/>
  </w:num>
  <w:num w:numId="7">
    <w:abstractNumId w:val="18"/>
  </w:num>
  <w:num w:numId="8">
    <w:abstractNumId w:val="23"/>
  </w:num>
  <w:num w:numId="9">
    <w:abstractNumId w:val="11"/>
  </w:num>
  <w:num w:numId="10">
    <w:abstractNumId w:val="1"/>
  </w:num>
  <w:num w:numId="11">
    <w:abstractNumId w:val="26"/>
  </w:num>
  <w:num w:numId="12">
    <w:abstractNumId w:val="10"/>
  </w:num>
  <w:num w:numId="13">
    <w:abstractNumId w:val="15"/>
  </w:num>
  <w:num w:numId="14">
    <w:abstractNumId w:val="29"/>
  </w:num>
  <w:num w:numId="15">
    <w:abstractNumId w:val="0"/>
  </w:num>
  <w:num w:numId="16">
    <w:abstractNumId w:val="5"/>
  </w:num>
  <w:num w:numId="17">
    <w:abstractNumId w:val="7"/>
  </w:num>
  <w:num w:numId="18">
    <w:abstractNumId w:val="4"/>
  </w:num>
  <w:num w:numId="19">
    <w:abstractNumId w:val="20"/>
  </w:num>
  <w:num w:numId="20">
    <w:abstractNumId w:val="12"/>
  </w:num>
  <w:num w:numId="21">
    <w:abstractNumId w:val="20"/>
  </w:num>
  <w:num w:numId="22">
    <w:abstractNumId w:val="8"/>
  </w:num>
  <w:num w:numId="23">
    <w:abstractNumId w:val="17"/>
  </w:num>
  <w:num w:numId="24">
    <w:abstractNumId w:val="24"/>
  </w:num>
  <w:num w:numId="25">
    <w:abstractNumId w:val="6"/>
  </w:num>
  <w:num w:numId="26">
    <w:abstractNumId w:val="2"/>
  </w:num>
  <w:num w:numId="27">
    <w:abstractNumId w:val="22"/>
  </w:num>
  <w:num w:numId="28">
    <w:abstractNumId w:val="14"/>
  </w:num>
  <w:num w:numId="29">
    <w:abstractNumId w:val="3"/>
  </w:num>
  <w:num w:numId="30">
    <w:abstractNumId w:val="20"/>
  </w:num>
  <w:num w:numId="31">
    <w:abstractNumId w:val="16"/>
  </w:num>
  <w:num w:numId="32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360"/>
    <w:rsid w:val="00000AF6"/>
    <w:rsid w:val="000011AA"/>
    <w:rsid w:val="000025A0"/>
    <w:rsid w:val="00003334"/>
    <w:rsid w:val="00005E65"/>
    <w:rsid w:val="00015D1E"/>
    <w:rsid w:val="00016EDF"/>
    <w:rsid w:val="000240B9"/>
    <w:rsid w:val="000300B9"/>
    <w:rsid w:val="000371A4"/>
    <w:rsid w:val="0003728A"/>
    <w:rsid w:val="00043C47"/>
    <w:rsid w:val="000456A4"/>
    <w:rsid w:val="0005596B"/>
    <w:rsid w:val="0005648E"/>
    <w:rsid w:val="00071726"/>
    <w:rsid w:val="00072D4A"/>
    <w:rsid w:val="00074151"/>
    <w:rsid w:val="0007432D"/>
    <w:rsid w:val="00080204"/>
    <w:rsid w:val="000815DF"/>
    <w:rsid w:val="000817BC"/>
    <w:rsid w:val="00084916"/>
    <w:rsid w:val="000959B7"/>
    <w:rsid w:val="000971E7"/>
    <w:rsid w:val="000A10B3"/>
    <w:rsid w:val="000A300E"/>
    <w:rsid w:val="000B03E0"/>
    <w:rsid w:val="000B2461"/>
    <w:rsid w:val="000B2D1B"/>
    <w:rsid w:val="000B7C87"/>
    <w:rsid w:val="000C485F"/>
    <w:rsid w:val="000C6131"/>
    <w:rsid w:val="000D68C6"/>
    <w:rsid w:val="000D7084"/>
    <w:rsid w:val="000E2A1E"/>
    <w:rsid w:val="000E5EB7"/>
    <w:rsid w:val="000E6D09"/>
    <w:rsid w:val="000E7C17"/>
    <w:rsid w:val="000F1B43"/>
    <w:rsid w:val="001004A1"/>
    <w:rsid w:val="00101BEB"/>
    <w:rsid w:val="0010568F"/>
    <w:rsid w:val="001056C3"/>
    <w:rsid w:val="00106009"/>
    <w:rsid w:val="0010797C"/>
    <w:rsid w:val="0011145D"/>
    <w:rsid w:val="0011370A"/>
    <w:rsid w:val="001152C1"/>
    <w:rsid w:val="001161D4"/>
    <w:rsid w:val="001165DB"/>
    <w:rsid w:val="00120842"/>
    <w:rsid w:val="00124A53"/>
    <w:rsid w:val="00135852"/>
    <w:rsid w:val="00140672"/>
    <w:rsid w:val="001420BF"/>
    <w:rsid w:val="00142C04"/>
    <w:rsid w:val="00146549"/>
    <w:rsid w:val="0015117A"/>
    <w:rsid w:val="0015211E"/>
    <w:rsid w:val="00161B32"/>
    <w:rsid w:val="00162BCE"/>
    <w:rsid w:val="001664B6"/>
    <w:rsid w:val="00170C65"/>
    <w:rsid w:val="00185CB5"/>
    <w:rsid w:val="00191280"/>
    <w:rsid w:val="00193656"/>
    <w:rsid w:val="00193AAD"/>
    <w:rsid w:val="00194052"/>
    <w:rsid w:val="00195CFA"/>
    <w:rsid w:val="001964A3"/>
    <w:rsid w:val="001A10D1"/>
    <w:rsid w:val="001B326C"/>
    <w:rsid w:val="001B360A"/>
    <w:rsid w:val="001B3A49"/>
    <w:rsid w:val="001B417A"/>
    <w:rsid w:val="001B4887"/>
    <w:rsid w:val="001B6557"/>
    <w:rsid w:val="001B6948"/>
    <w:rsid w:val="001C0A29"/>
    <w:rsid w:val="001C116D"/>
    <w:rsid w:val="001D2418"/>
    <w:rsid w:val="001D370B"/>
    <w:rsid w:val="001D3892"/>
    <w:rsid w:val="001D6068"/>
    <w:rsid w:val="001D7976"/>
    <w:rsid w:val="001E06C3"/>
    <w:rsid w:val="001E1435"/>
    <w:rsid w:val="001E581F"/>
    <w:rsid w:val="001F4463"/>
    <w:rsid w:val="001F5251"/>
    <w:rsid w:val="001F52BC"/>
    <w:rsid w:val="001F6458"/>
    <w:rsid w:val="001F7887"/>
    <w:rsid w:val="002011C4"/>
    <w:rsid w:val="00206F3A"/>
    <w:rsid w:val="002102E2"/>
    <w:rsid w:val="0021220D"/>
    <w:rsid w:val="00213C32"/>
    <w:rsid w:val="0021466D"/>
    <w:rsid w:val="002149C8"/>
    <w:rsid w:val="002216D8"/>
    <w:rsid w:val="002229ED"/>
    <w:rsid w:val="00226632"/>
    <w:rsid w:val="00227027"/>
    <w:rsid w:val="00233483"/>
    <w:rsid w:val="00235E97"/>
    <w:rsid w:val="002369FF"/>
    <w:rsid w:val="00245A92"/>
    <w:rsid w:val="00252E75"/>
    <w:rsid w:val="00253575"/>
    <w:rsid w:val="002567C9"/>
    <w:rsid w:val="00261A8F"/>
    <w:rsid w:val="002670CB"/>
    <w:rsid w:val="00270631"/>
    <w:rsid w:val="00272FCB"/>
    <w:rsid w:val="00273A27"/>
    <w:rsid w:val="002837EB"/>
    <w:rsid w:val="00283EA6"/>
    <w:rsid w:val="00283FDA"/>
    <w:rsid w:val="002857AF"/>
    <w:rsid w:val="00286B74"/>
    <w:rsid w:val="00291951"/>
    <w:rsid w:val="0029553F"/>
    <w:rsid w:val="002A3D47"/>
    <w:rsid w:val="002A4802"/>
    <w:rsid w:val="002A5742"/>
    <w:rsid w:val="002A74EA"/>
    <w:rsid w:val="002B3999"/>
    <w:rsid w:val="002B5234"/>
    <w:rsid w:val="002B667E"/>
    <w:rsid w:val="002C1292"/>
    <w:rsid w:val="002D1BFE"/>
    <w:rsid w:val="002D4278"/>
    <w:rsid w:val="002D76AF"/>
    <w:rsid w:val="002D7808"/>
    <w:rsid w:val="002E1421"/>
    <w:rsid w:val="002E18A3"/>
    <w:rsid w:val="002E1BC3"/>
    <w:rsid w:val="002E3A1D"/>
    <w:rsid w:val="002E6549"/>
    <w:rsid w:val="002F2048"/>
    <w:rsid w:val="002F4DE1"/>
    <w:rsid w:val="002F7AE2"/>
    <w:rsid w:val="0030018D"/>
    <w:rsid w:val="00301781"/>
    <w:rsid w:val="00301CB0"/>
    <w:rsid w:val="003029A3"/>
    <w:rsid w:val="00303A3F"/>
    <w:rsid w:val="00311D55"/>
    <w:rsid w:val="00312360"/>
    <w:rsid w:val="003144FD"/>
    <w:rsid w:val="0031676D"/>
    <w:rsid w:val="003173E2"/>
    <w:rsid w:val="00321897"/>
    <w:rsid w:val="0032351C"/>
    <w:rsid w:val="00323BF6"/>
    <w:rsid w:val="00326F3D"/>
    <w:rsid w:val="00327B08"/>
    <w:rsid w:val="00332904"/>
    <w:rsid w:val="00337684"/>
    <w:rsid w:val="00340D17"/>
    <w:rsid w:val="003427FC"/>
    <w:rsid w:val="00343D54"/>
    <w:rsid w:val="00347443"/>
    <w:rsid w:val="00352000"/>
    <w:rsid w:val="003523B7"/>
    <w:rsid w:val="00354014"/>
    <w:rsid w:val="00366822"/>
    <w:rsid w:val="003714AC"/>
    <w:rsid w:val="00374917"/>
    <w:rsid w:val="00381F4B"/>
    <w:rsid w:val="003834D5"/>
    <w:rsid w:val="00386614"/>
    <w:rsid w:val="00397A40"/>
    <w:rsid w:val="003A25F1"/>
    <w:rsid w:val="003A30DA"/>
    <w:rsid w:val="003A389B"/>
    <w:rsid w:val="003B136E"/>
    <w:rsid w:val="003B4F10"/>
    <w:rsid w:val="003B6D57"/>
    <w:rsid w:val="003C1AE9"/>
    <w:rsid w:val="003C3552"/>
    <w:rsid w:val="003D52ED"/>
    <w:rsid w:val="003E2CC1"/>
    <w:rsid w:val="003F080A"/>
    <w:rsid w:val="003F24AF"/>
    <w:rsid w:val="003F5052"/>
    <w:rsid w:val="0040194D"/>
    <w:rsid w:val="00402334"/>
    <w:rsid w:val="00410873"/>
    <w:rsid w:val="004108D9"/>
    <w:rsid w:val="004122E0"/>
    <w:rsid w:val="004208A3"/>
    <w:rsid w:val="00441ED8"/>
    <w:rsid w:val="004428B7"/>
    <w:rsid w:val="00443592"/>
    <w:rsid w:val="00451F14"/>
    <w:rsid w:val="00452A22"/>
    <w:rsid w:val="00460569"/>
    <w:rsid w:val="00466735"/>
    <w:rsid w:val="004713BB"/>
    <w:rsid w:val="00475586"/>
    <w:rsid w:val="00480717"/>
    <w:rsid w:val="0048280D"/>
    <w:rsid w:val="004973E1"/>
    <w:rsid w:val="004A18A4"/>
    <w:rsid w:val="004A2DD9"/>
    <w:rsid w:val="004A3D8F"/>
    <w:rsid w:val="004A6C31"/>
    <w:rsid w:val="004B0BE7"/>
    <w:rsid w:val="004C006E"/>
    <w:rsid w:val="004C44CB"/>
    <w:rsid w:val="004C4CA6"/>
    <w:rsid w:val="004D017B"/>
    <w:rsid w:val="004D0805"/>
    <w:rsid w:val="004D3123"/>
    <w:rsid w:val="004E4356"/>
    <w:rsid w:val="004E4823"/>
    <w:rsid w:val="004E6BF9"/>
    <w:rsid w:val="004F10DD"/>
    <w:rsid w:val="0050220B"/>
    <w:rsid w:val="00505A5D"/>
    <w:rsid w:val="005116AA"/>
    <w:rsid w:val="0051283E"/>
    <w:rsid w:val="0052487B"/>
    <w:rsid w:val="00525BDE"/>
    <w:rsid w:val="00531D7B"/>
    <w:rsid w:val="005478A2"/>
    <w:rsid w:val="00557BED"/>
    <w:rsid w:val="005624EC"/>
    <w:rsid w:val="005646E0"/>
    <w:rsid w:val="005702FC"/>
    <w:rsid w:val="005767C6"/>
    <w:rsid w:val="0057685F"/>
    <w:rsid w:val="005805D7"/>
    <w:rsid w:val="00582743"/>
    <w:rsid w:val="00582B2F"/>
    <w:rsid w:val="005877CE"/>
    <w:rsid w:val="00591F7C"/>
    <w:rsid w:val="00595B16"/>
    <w:rsid w:val="00596BD5"/>
    <w:rsid w:val="0059738E"/>
    <w:rsid w:val="005A2AD6"/>
    <w:rsid w:val="005A5D4D"/>
    <w:rsid w:val="005B12DD"/>
    <w:rsid w:val="005B6F43"/>
    <w:rsid w:val="005C77A2"/>
    <w:rsid w:val="005D0E13"/>
    <w:rsid w:val="005D5DF5"/>
    <w:rsid w:val="005D73DF"/>
    <w:rsid w:val="005D7EFA"/>
    <w:rsid w:val="005E16F6"/>
    <w:rsid w:val="005E6CCF"/>
    <w:rsid w:val="005F6604"/>
    <w:rsid w:val="00600BCD"/>
    <w:rsid w:val="006079D5"/>
    <w:rsid w:val="006103C7"/>
    <w:rsid w:val="00613D72"/>
    <w:rsid w:val="00614C7E"/>
    <w:rsid w:val="006151B4"/>
    <w:rsid w:val="00615C62"/>
    <w:rsid w:val="00616227"/>
    <w:rsid w:val="00617DAF"/>
    <w:rsid w:val="00620350"/>
    <w:rsid w:val="006244E7"/>
    <w:rsid w:val="006270CA"/>
    <w:rsid w:val="006333F9"/>
    <w:rsid w:val="00642DFA"/>
    <w:rsid w:val="006463F8"/>
    <w:rsid w:val="00646F23"/>
    <w:rsid w:val="00652AA3"/>
    <w:rsid w:val="00653CC5"/>
    <w:rsid w:val="0065424B"/>
    <w:rsid w:val="00654DC1"/>
    <w:rsid w:val="00655D86"/>
    <w:rsid w:val="00662E0B"/>
    <w:rsid w:val="0066749A"/>
    <w:rsid w:val="0067226C"/>
    <w:rsid w:val="006752EA"/>
    <w:rsid w:val="00676F69"/>
    <w:rsid w:val="006832E6"/>
    <w:rsid w:val="00687732"/>
    <w:rsid w:val="00690255"/>
    <w:rsid w:val="0069249D"/>
    <w:rsid w:val="00693D50"/>
    <w:rsid w:val="006A288B"/>
    <w:rsid w:val="006A3CB7"/>
    <w:rsid w:val="006A4A8F"/>
    <w:rsid w:val="006A5FAF"/>
    <w:rsid w:val="006A7A95"/>
    <w:rsid w:val="006B021E"/>
    <w:rsid w:val="006B14C8"/>
    <w:rsid w:val="006B170B"/>
    <w:rsid w:val="006B28BA"/>
    <w:rsid w:val="006B47BD"/>
    <w:rsid w:val="006C4BD2"/>
    <w:rsid w:val="006C641E"/>
    <w:rsid w:val="006C766F"/>
    <w:rsid w:val="006D14E9"/>
    <w:rsid w:val="006D3B49"/>
    <w:rsid w:val="006E0E78"/>
    <w:rsid w:val="006E1FB5"/>
    <w:rsid w:val="006E25C7"/>
    <w:rsid w:val="006E363E"/>
    <w:rsid w:val="006E5CA2"/>
    <w:rsid w:val="006F0A9A"/>
    <w:rsid w:val="006F1F9D"/>
    <w:rsid w:val="006F33CF"/>
    <w:rsid w:val="006F4551"/>
    <w:rsid w:val="00701D7F"/>
    <w:rsid w:val="007021F5"/>
    <w:rsid w:val="00703134"/>
    <w:rsid w:val="00703307"/>
    <w:rsid w:val="00706457"/>
    <w:rsid w:val="007109DF"/>
    <w:rsid w:val="007158F5"/>
    <w:rsid w:val="007173F0"/>
    <w:rsid w:val="0072083B"/>
    <w:rsid w:val="007230D4"/>
    <w:rsid w:val="007261CF"/>
    <w:rsid w:val="007308CE"/>
    <w:rsid w:val="007329EA"/>
    <w:rsid w:val="00735AA8"/>
    <w:rsid w:val="007362F4"/>
    <w:rsid w:val="007369A5"/>
    <w:rsid w:val="00743D0A"/>
    <w:rsid w:val="00744EDD"/>
    <w:rsid w:val="00750B7D"/>
    <w:rsid w:val="0075238C"/>
    <w:rsid w:val="007530D2"/>
    <w:rsid w:val="00761410"/>
    <w:rsid w:val="00763F3D"/>
    <w:rsid w:val="00774630"/>
    <w:rsid w:val="00774881"/>
    <w:rsid w:val="00776BA4"/>
    <w:rsid w:val="00791541"/>
    <w:rsid w:val="00793314"/>
    <w:rsid w:val="00797E80"/>
    <w:rsid w:val="007A2968"/>
    <w:rsid w:val="007A3AFE"/>
    <w:rsid w:val="007B0D20"/>
    <w:rsid w:val="007B4DD5"/>
    <w:rsid w:val="007C01A4"/>
    <w:rsid w:val="007C73D2"/>
    <w:rsid w:val="007D323E"/>
    <w:rsid w:val="007D5C22"/>
    <w:rsid w:val="007E329E"/>
    <w:rsid w:val="007E5279"/>
    <w:rsid w:val="007E5685"/>
    <w:rsid w:val="007F0D84"/>
    <w:rsid w:val="007F0E95"/>
    <w:rsid w:val="007F4064"/>
    <w:rsid w:val="007F55FC"/>
    <w:rsid w:val="007F6EB7"/>
    <w:rsid w:val="00802328"/>
    <w:rsid w:val="008040C6"/>
    <w:rsid w:val="00811254"/>
    <w:rsid w:val="0081168C"/>
    <w:rsid w:val="008176F6"/>
    <w:rsid w:val="00817B66"/>
    <w:rsid w:val="008219CD"/>
    <w:rsid w:val="00823683"/>
    <w:rsid w:val="008248E0"/>
    <w:rsid w:val="00826025"/>
    <w:rsid w:val="008273D4"/>
    <w:rsid w:val="008304BF"/>
    <w:rsid w:val="00831058"/>
    <w:rsid w:val="00835DF3"/>
    <w:rsid w:val="0083790E"/>
    <w:rsid w:val="008401BD"/>
    <w:rsid w:val="00840731"/>
    <w:rsid w:val="008472A8"/>
    <w:rsid w:val="00850CAF"/>
    <w:rsid w:val="008528B8"/>
    <w:rsid w:val="00853F16"/>
    <w:rsid w:val="008551C4"/>
    <w:rsid w:val="008632E6"/>
    <w:rsid w:val="00871803"/>
    <w:rsid w:val="00874C9D"/>
    <w:rsid w:val="00876B4C"/>
    <w:rsid w:val="00881133"/>
    <w:rsid w:val="00884868"/>
    <w:rsid w:val="00897C8E"/>
    <w:rsid w:val="008A1717"/>
    <w:rsid w:val="008A26AC"/>
    <w:rsid w:val="008B0BA6"/>
    <w:rsid w:val="008B238E"/>
    <w:rsid w:val="008C0C6F"/>
    <w:rsid w:val="008C15D1"/>
    <w:rsid w:val="008C16DD"/>
    <w:rsid w:val="008C1EDD"/>
    <w:rsid w:val="008C2B54"/>
    <w:rsid w:val="008C4226"/>
    <w:rsid w:val="008C4AED"/>
    <w:rsid w:val="008C78AA"/>
    <w:rsid w:val="008D299D"/>
    <w:rsid w:val="008D3097"/>
    <w:rsid w:val="008D5502"/>
    <w:rsid w:val="008E0287"/>
    <w:rsid w:val="008E15DD"/>
    <w:rsid w:val="008E3982"/>
    <w:rsid w:val="008F0AA5"/>
    <w:rsid w:val="00905141"/>
    <w:rsid w:val="00910483"/>
    <w:rsid w:val="009120D9"/>
    <w:rsid w:val="0092275E"/>
    <w:rsid w:val="009243E7"/>
    <w:rsid w:val="00925544"/>
    <w:rsid w:val="009258A2"/>
    <w:rsid w:val="009264DB"/>
    <w:rsid w:val="0093400C"/>
    <w:rsid w:val="00935E3B"/>
    <w:rsid w:val="00940D12"/>
    <w:rsid w:val="00940FC4"/>
    <w:rsid w:val="00950332"/>
    <w:rsid w:val="00952C43"/>
    <w:rsid w:val="0095565A"/>
    <w:rsid w:val="00956855"/>
    <w:rsid w:val="0095731B"/>
    <w:rsid w:val="00957BD0"/>
    <w:rsid w:val="009603C1"/>
    <w:rsid w:val="009649BF"/>
    <w:rsid w:val="009655FE"/>
    <w:rsid w:val="00967162"/>
    <w:rsid w:val="00972F9C"/>
    <w:rsid w:val="009731AA"/>
    <w:rsid w:val="009758C3"/>
    <w:rsid w:val="00986427"/>
    <w:rsid w:val="0098721B"/>
    <w:rsid w:val="00992C37"/>
    <w:rsid w:val="00993108"/>
    <w:rsid w:val="00993CE8"/>
    <w:rsid w:val="009A06B5"/>
    <w:rsid w:val="009A0D70"/>
    <w:rsid w:val="009A2CC6"/>
    <w:rsid w:val="009A59BD"/>
    <w:rsid w:val="009A620A"/>
    <w:rsid w:val="009B028F"/>
    <w:rsid w:val="009B1005"/>
    <w:rsid w:val="009B307F"/>
    <w:rsid w:val="009B4B6C"/>
    <w:rsid w:val="009C3BC6"/>
    <w:rsid w:val="009D4827"/>
    <w:rsid w:val="009E0697"/>
    <w:rsid w:val="009E0967"/>
    <w:rsid w:val="009E3D35"/>
    <w:rsid w:val="009E5466"/>
    <w:rsid w:val="009E7114"/>
    <w:rsid w:val="009F07EF"/>
    <w:rsid w:val="009F0F43"/>
    <w:rsid w:val="009F5AC0"/>
    <w:rsid w:val="009F7089"/>
    <w:rsid w:val="00A0213E"/>
    <w:rsid w:val="00A06434"/>
    <w:rsid w:val="00A06E0B"/>
    <w:rsid w:val="00A109A6"/>
    <w:rsid w:val="00A17B5E"/>
    <w:rsid w:val="00A17CB7"/>
    <w:rsid w:val="00A2750F"/>
    <w:rsid w:val="00A3482E"/>
    <w:rsid w:val="00A34F39"/>
    <w:rsid w:val="00A41088"/>
    <w:rsid w:val="00A43D05"/>
    <w:rsid w:val="00A47948"/>
    <w:rsid w:val="00A47D5C"/>
    <w:rsid w:val="00A5113C"/>
    <w:rsid w:val="00A533A1"/>
    <w:rsid w:val="00A55137"/>
    <w:rsid w:val="00A55210"/>
    <w:rsid w:val="00A57BCC"/>
    <w:rsid w:val="00A61276"/>
    <w:rsid w:val="00A67D15"/>
    <w:rsid w:val="00A70071"/>
    <w:rsid w:val="00A7170C"/>
    <w:rsid w:val="00A71C8D"/>
    <w:rsid w:val="00A71FDE"/>
    <w:rsid w:val="00A72A36"/>
    <w:rsid w:val="00A75CE2"/>
    <w:rsid w:val="00A8180D"/>
    <w:rsid w:val="00A84B52"/>
    <w:rsid w:val="00A8600A"/>
    <w:rsid w:val="00A865F6"/>
    <w:rsid w:val="00A905A9"/>
    <w:rsid w:val="00A9511F"/>
    <w:rsid w:val="00AA4DCA"/>
    <w:rsid w:val="00AA6EB6"/>
    <w:rsid w:val="00AB0F76"/>
    <w:rsid w:val="00AB5F5B"/>
    <w:rsid w:val="00AC5ABF"/>
    <w:rsid w:val="00AC6DBC"/>
    <w:rsid w:val="00AD16EF"/>
    <w:rsid w:val="00AD1A14"/>
    <w:rsid w:val="00AD707F"/>
    <w:rsid w:val="00AE27BE"/>
    <w:rsid w:val="00AE2854"/>
    <w:rsid w:val="00AE5BA2"/>
    <w:rsid w:val="00AF0FCA"/>
    <w:rsid w:val="00AF2278"/>
    <w:rsid w:val="00AF3FE7"/>
    <w:rsid w:val="00B069C4"/>
    <w:rsid w:val="00B07A2B"/>
    <w:rsid w:val="00B17C2F"/>
    <w:rsid w:val="00B22D68"/>
    <w:rsid w:val="00B25B46"/>
    <w:rsid w:val="00B3239B"/>
    <w:rsid w:val="00B36213"/>
    <w:rsid w:val="00B42144"/>
    <w:rsid w:val="00B4236F"/>
    <w:rsid w:val="00B46F36"/>
    <w:rsid w:val="00B533AB"/>
    <w:rsid w:val="00B55109"/>
    <w:rsid w:val="00B57EE5"/>
    <w:rsid w:val="00B61682"/>
    <w:rsid w:val="00B61F98"/>
    <w:rsid w:val="00B63D6E"/>
    <w:rsid w:val="00B7074C"/>
    <w:rsid w:val="00B77559"/>
    <w:rsid w:val="00B854C6"/>
    <w:rsid w:val="00B93494"/>
    <w:rsid w:val="00B95B0C"/>
    <w:rsid w:val="00BA227C"/>
    <w:rsid w:val="00BA5B98"/>
    <w:rsid w:val="00BB012A"/>
    <w:rsid w:val="00BB13E7"/>
    <w:rsid w:val="00BB5502"/>
    <w:rsid w:val="00BB714F"/>
    <w:rsid w:val="00BC03D7"/>
    <w:rsid w:val="00BC3110"/>
    <w:rsid w:val="00BC373A"/>
    <w:rsid w:val="00BC45F4"/>
    <w:rsid w:val="00BC602D"/>
    <w:rsid w:val="00BC6F63"/>
    <w:rsid w:val="00BD64ED"/>
    <w:rsid w:val="00BE057B"/>
    <w:rsid w:val="00BE10C5"/>
    <w:rsid w:val="00BE68D9"/>
    <w:rsid w:val="00BF7F6B"/>
    <w:rsid w:val="00C02873"/>
    <w:rsid w:val="00C0367F"/>
    <w:rsid w:val="00C0384B"/>
    <w:rsid w:val="00C05DBB"/>
    <w:rsid w:val="00C07B87"/>
    <w:rsid w:val="00C119D0"/>
    <w:rsid w:val="00C14AC1"/>
    <w:rsid w:val="00C17E1E"/>
    <w:rsid w:val="00C310F9"/>
    <w:rsid w:val="00C34293"/>
    <w:rsid w:val="00C35D76"/>
    <w:rsid w:val="00C52E51"/>
    <w:rsid w:val="00C57AAA"/>
    <w:rsid w:val="00C61DD5"/>
    <w:rsid w:val="00C637C1"/>
    <w:rsid w:val="00C667C1"/>
    <w:rsid w:val="00C67A57"/>
    <w:rsid w:val="00C701E9"/>
    <w:rsid w:val="00C72DA2"/>
    <w:rsid w:val="00C740D3"/>
    <w:rsid w:val="00C76A25"/>
    <w:rsid w:val="00C800DB"/>
    <w:rsid w:val="00C82B0A"/>
    <w:rsid w:val="00C83D2D"/>
    <w:rsid w:val="00C842CB"/>
    <w:rsid w:val="00C96D41"/>
    <w:rsid w:val="00C97455"/>
    <w:rsid w:val="00CA1D60"/>
    <w:rsid w:val="00CA5AC4"/>
    <w:rsid w:val="00CA714B"/>
    <w:rsid w:val="00CB42F2"/>
    <w:rsid w:val="00CC6978"/>
    <w:rsid w:val="00CE0A38"/>
    <w:rsid w:val="00CE3F0C"/>
    <w:rsid w:val="00D027AA"/>
    <w:rsid w:val="00D05CF9"/>
    <w:rsid w:val="00D067BB"/>
    <w:rsid w:val="00D17567"/>
    <w:rsid w:val="00D22AD5"/>
    <w:rsid w:val="00D23099"/>
    <w:rsid w:val="00D24873"/>
    <w:rsid w:val="00D27090"/>
    <w:rsid w:val="00D304C7"/>
    <w:rsid w:val="00D31433"/>
    <w:rsid w:val="00D31495"/>
    <w:rsid w:val="00D337F1"/>
    <w:rsid w:val="00D34C78"/>
    <w:rsid w:val="00D365D8"/>
    <w:rsid w:val="00D374B2"/>
    <w:rsid w:val="00D43C57"/>
    <w:rsid w:val="00D54DBE"/>
    <w:rsid w:val="00D569F1"/>
    <w:rsid w:val="00D57282"/>
    <w:rsid w:val="00D60B10"/>
    <w:rsid w:val="00D6367D"/>
    <w:rsid w:val="00D647DA"/>
    <w:rsid w:val="00D65F26"/>
    <w:rsid w:val="00D673A9"/>
    <w:rsid w:val="00D67FA2"/>
    <w:rsid w:val="00D8183B"/>
    <w:rsid w:val="00D83A6E"/>
    <w:rsid w:val="00D84C69"/>
    <w:rsid w:val="00D8682E"/>
    <w:rsid w:val="00D877F6"/>
    <w:rsid w:val="00DA525B"/>
    <w:rsid w:val="00DB0437"/>
    <w:rsid w:val="00DB3880"/>
    <w:rsid w:val="00DC18E3"/>
    <w:rsid w:val="00DC483B"/>
    <w:rsid w:val="00DE3064"/>
    <w:rsid w:val="00DE5789"/>
    <w:rsid w:val="00DE7228"/>
    <w:rsid w:val="00DF16CF"/>
    <w:rsid w:val="00DF1DB0"/>
    <w:rsid w:val="00DF3521"/>
    <w:rsid w:val="00E038DB"/>
    <w:rsid w:val="00E0446E"/>
    <w:rsid w:val="00E12500"/>
    <w:rsid w:val="00E1278D"/>
    <w:rsid w:val="00E20604"/>
    <w:rsid w:val="00E238C3"/>
    <w:rsid w:val="00E23B8A"/>
    <w:rsid w:val="00E25B5A"/>
    <w:rsid w:val="00E27A2B"/>
    <w:rsid w:val="00E27BB3"/>
    <w:rsid w:val="00E3250B"/>
    <w:rsid w:val="00E37743"/>
    <w:rsid w:val="00E42FD7"/>
    <w:rsid w:val="00E46804"/>
    <w:rsid w:val="00E5147E"/>
    <w:rsid w:val="00E564BD"/>
    <w:rsid w:val="00E64844"/>
    <w:rsid w:val="00E705B0"/>
    <w:rsid w:val="00E7142D"/>
    <w:rsid w:val="00E71D65"/>
    <w:rsid w:val="00E86A94"/>
    <w:rsid w:val="00E91B90"/>
    <w:rsid w:val="00E94FA5"/>
    <w:rsid w:val="00E96DCC"/>
    <w:rsid w:val="00EA2E6E"/>
    <w:rsid w:val="00EA6CAE"/>
    <w:rsid w:val="00EB3862"/>
    <w:rsid w:val="00EB5946"/>
    <w:rsid w:val="00EB679A"/>
    <w:rsid w:val="00EB6E38"/>
    <w:rsid w:val="00EB78BD"/>
    <w:rsid w:val="00EC6217"/>
    <w:rsid w:val="00EC6D8C"/>
    <w:rsid w:val="00ED09D6"/>
    <w:rsid w:val="00ED17B5"/>
    <w:rsid w:val="00EE061A"/>
    <w:rsid w:val="00F03B6F"/>
    <w:rsid w:val="00F03DFD"/>
    <w:rsid w:val="00F040A1"/>
    <w:rsid w:val="00F05B42"/>
    <w:rsid w:val="00F05BFE"/>
    <w:rsid w:val="00F06F43"/>
    <w:rsid w:val="00F07CE2"/>
    <w:rsid w:val="00F13B0A"/>
    <w:rsid w:val="00F16639"/>
    <w:rsid w:val="00F17C7E"/>
    <w:rsid w:val="00F20C91"/>
    <w:rsid w:val="00F248FE"/>
    <w:rsid w:val="00F24C5A"/>
    <w:rsid w:val="00F30001"/>
    <w:rsid w:val="00F31B61"/>
    <w:rsid w:val="00F36D77"/>
    <w:rsid w:val="00F37395"/>
    <w:rsid w:val="00F4214C"/>
    <w:rsid w:val="00F42539"/>
    <w:rsid w:val="00F44A6A"/>
    <w:rsid w:val="00F4551F"/>
    <w:rsid w:val="00F5534C"/>
    <w:rsid w:val="00F5760A"/>
    <w:rsid w:val="00F6186F"/>
    <w:rsid w:val="00F61EE9"/>
    <w:rsid w:val="00F62CE8"/>
    <w:rsid w:val="00F62E25"/>
    <w:rsid w:val="00F66D3B"/>
    <w:rsid w:val="00F67735"/>
    <w:rsid w:val="00F80B3B"/>
    <w:rsid w:val="00F82905"/>
    <w:rsid w:val="00F82EB5"/>
    <w:rsid w:val="00F9062A"/>
    <w:rsid w:val="00F910EF"/>
    <w:rsid w:val="00F974D2"/>
    <w:rsid w:val="00FA228E"/>
    <w:rsid w:val="00FA273F"/>
    <w:rsid w:val="00FA63EC"/>
    <w:rsid w:val="00FB587E"/>
    <w:rsid w:val="00FC4CCA"/>
    <w:rsid w:val="00FC5147"/>
    <w:rsid w:val="00FC700D"/>
    <w:rsid w:val="00FD065A"/>
    <w:rsid w:val="00FD41AC"/>
    <w:rsid w:val="00FD4568"/>
    <w:rsid w:val="00FD6275"/>
    <w:rsid w:val="00FD6E05"/>
    <w:rsid w:val="00FE0C68"/>
    <w:rsid w:val="00FE29C9"/>
    <w:rsid w:val="00FE3488"/>
    <w:rsid w:val="00FE4D4F"/>
    <w:rsid w:val="00FE6984"/>
    <w:rsid w:val="00FF0AB0"/>
    <w:rsid w:val="00FF0DFD"/>
    <w:rsid w:val="00FF1A6D"/>
    <w:rsid w:val="00FF2894"/>
    <w:rsid w:val="00F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351C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C342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525B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236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1236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312360"/>
  </w:style>
  <w:style w:type="paragraph" w:styleId="Corpsdetexte3">
    <w:name w:val="Body Text 3"/>
    <w:basedOn w:val="Normal"/>
    <w:rsid w:val="00312360"/>
    <w:rPr>
      <w:rFonts w:ascii="Book Antiqua" w:hAnsi="Book Antiqua"/>
      <w:color w:val="0000FF"/>
      <w:szCs w:val="20"/>
    </w:rPr>
  </w:style>
  <w:style w:type="table" w:styleId="Grilledutableau">
    <w:name w:val="Table Grid"/>
    <w:basedOn w:val="TableauNormal"/>
    <w:rsid w:val="00312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C1AE9"/>
    <w:pPr>
      <w:spacing w:before="100" w:beforeAutospacing="1" w:after="100" w:afterAutospacing="1"/>
    </w:pPr>
  </w:style>
  <w:style w:type="paragraph" w:customStyle="1" w:styleId="Style1">
    <w:name w:val="Style1"/>
    <w:basedOn w:val="Normal"/>
    <w:link w:val="Style1Car"/>
    <w:qFormat/>
    <w:rsid w:val="00C34293"/>
    <w:pPr>
      <w:spacing w:before="120"/>
      <w:jc w:val="both"/>
    </w:pPr>
    <w:rPr>
      <w:rFonts w:ascii="Verdana" w:hAnsi="Verdana"/>
      <w:b/>
      <w:bCs/>
      <w:sz w:val="28"/>
      <w:szCs w:val="28"/>
      <w:u w:val="single"/>
    </w:rPr>
  </w:style>
  <w:style w:type="character" w:customStyle="1" w:styleId="Titre1Car">
    <w:name w:val="Titre 1 Car"/>
    <w:link w:val="Titre1"/>
    <w:rsid w:val="00C34293"/>
    <w:rPr>
      <w:rFonts w:ascii="Cambria" w:eastAsia="Times New Roman" w:hAnsi="Cambria" w:cs="Times New Roman"/>
      <w:b/>
      <w:bCs/>
      <w:kern w:val="32"/>
      <w:sz w:val="32"/>
      <w:szCs w:val="32"/>
      <w:lang w:val="fr-FR" w:eastAsia="fr-FR"/>
    </w:rPr>
  </w:style>
  <w:style w:type="character" w:customStyle="1" w:styleId="Style1Car">
    <w:name w:val="Style1 Car"/>
    <w:link w:val="Style1"/>
    <w:rsid w:val="00C34293"/>
    <w:rPr>
      <w:rFonts w:ascii="Verdana" w:hAnsi="Verdana"/>
      <w:b/>
      <w:bCs/>
      <w:sz w:val="28"/>
      <w:szCs w:val="28"/>
      <w:u w:val="single"/>
      <w:lang w:val="fr-FR"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3429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ja-JP"/>
    </w:rPr>
  </w:style>
  <w:style w:type="paragraph" w:styleId="TM1">
    <w:name w:val="toc 1"/>
    <w:basedOn w:val="Normal"/>
    <w:next w:val="Normal"/>
    <w:autoRedefine/>
    <w:uiPriority w:val="39"/>
    <w:rsid w:val="00AC5ABF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TM2">
    <w:name w:val="toc 2"/>
    <w:basedOn w:val="Normal"/>
    <w:next w:val="Normal"/>
    <w:autoRedefine/>
    <w:uiPriority w:val="39"/>
    <w:rsid w:val="00AC5ABF"/>
    <w:pPr>
      <w:ind w:left="240"/>
    </w:pPr>
    <w:rPr>
      <w:rFonts w:ascii="Calibri" w:hAnsi="Calibri"/>
      <w:smallCaps/>
      <w:sz w:val="20"/>
      <w:szCs w:val="20"/>
    </w:rPr>
  </w:style>
  <w:style w:type="paragraph" w:styleId="TM3">
    <w:name w:val="toc 3"/>
    <w:basedOn w:val="Normal"/>
    <w:next w:val="Normal"/>
    <w:autoRedefine/>
    <w:rsid w:val="00AC5ABF"/>
    <w:pPr>
      <w:ind w:left="480"/>
    </w:pPr>
    <w:rPr>
      <w:rFonts w:ascii="Calibri" w:hAnsi="Calibri"/>
      <w:i/>
      <w:iCs/>
      <w:sz w:val="20"/>
      <w:szCs w:val="20"/>
    </w:rPr>
  </w:style>
  <w:style w:type="paragraph" w:styleId="TM4">
    <w:name w:val="toc 4"/>
    <w:basedOn w:val="Normal"/>
    <w:next w:val="Normal"/>
    <w:autoRedefine/>
    <w:rsid w:val="00AC5ABF"/>
    <w:pPr>
      <w:ind w:left="72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rsid w:val="00AC5ABF"/>
    <w:pPr>
      <w:ind w:left="96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rsid w:val="00AC5ABF"/>
    <w:pPr>
      <w:ind w:left="12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rsid w:val="00AC5ABF"/>
    <w:pPr>
      <w:ind w:left="144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rsid w:val="00AC5ABF"/>
    <w:pPr>
      <w:ind w:left="168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rsid w:val="00AC5ABF"/>
    <w:pPr>
      <w:ind w:left="1920"/>
    </w:pPr>
    <w:rPr>
      <w:rFonts w:ascii="Calibri" w:hAnsi="Calibri"/>
      <w:sz w:val="18"/>
      <w:szCs w:val="18"/>
    </w:rPr>
  </w:style>
  <w:style w:type="character" w:styleId="Lienhypertexte">
    <w:name w:val="Hyperlink"/>
    <w:uiPriority w:val="99"/>
    <w:unhideWhenUsed/>
    <w:rsid w:val="00AC5ABF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FA22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A228E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3A25F1"/>
    <w:pPr>
      <w:ind w:left="720"/>
      <w:contextualSpacing/>
    </w:pPr>
  </w:style>
  <w:style w:type="character" w:styleId="Marquedecommentaire">
    <w:name w:val="annotation reference"/>
    <w:basedOn w:val="Policepardfaut"/>
    <w:rsid w:val="00F05B42"/>
    <w:rPr>
      <w:sz w:val="16"/>
      <w:szCs w:val="16"/>
    </w:rPr>
  </w:style>
  <w:style w:type="paragraph" w:styleId="Commentaire">
    <w:name w:val="annotation text"/>
    <w:basedOn w:val="Normal"/>
    <w:link w:val="CommentaireCar"/>
    <w:rsid w:val="00F05B4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F05B42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F05B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F05B42"/>
    <w:rPr>
      <w:b/>
      <w:bCs/>
      <w:lang w:val="fr-FR" w:eastAsia="fr-FR"/>
    </w:rPr>
  </w:style>
  <w:style w:type="character" w:styleId="Lienhypertextesuivivisit">
    <w:name w:val="FollowedHyperlink"/>
    <w:basedOn w:val="Policepardfaut"/>
    <w:rsid w:val="00FD065A"/>
    <w:rPr>
      <w:color w:val="800080" w:themeColor="followedHyperlink"/>
      <w:u w:val="single"/>
    </w:rPr>
  </w:style>
  <w:style w:type="paragraph" w:styleId="Sous-titre">
    <w:name w:val="Subtitle"/>
    <w:basedOn w:val="Normal"/>
    <w:next w:val="Normal"/>
    <w:link w:val="Sous-titreCar"/>
    <w:qFormat/>
    <w:rsid w:val="00525BDE"/>
    <w:pPr>
      <w:numPr>
        <w:numId w:val="19"/>
      </w:numPr>
      <w:jc w:val="both"/>
    </w:pPr>
    <w:rPr>
      <w:rFonts w:ascii="Verdana" w:eastAsiaTheme="majorEastAsia" w:hAnsi="Verdana" w:cstheme="majorBidi"/>
      <w:iCs/>
      <w:spacing w:val="15"/>
      <w:sz w:val="20"/>
      <w:u w:val="single"/>
    </w:rPr>
  </w:style>
  <w:style w:type="character" w:customStyle="1" w:styleId="Sous-titreCar">
    <w:name w:val="Sous-titre Car"/>
    <w:basedOn w:val="Policepardfaut"/>
    <w:link w:val="Sous-titre"/>
    <w:rsid w:val="00525BDE"/>
    <w:rPr>
      <w:rFonts w:ascii="Verdana" w:eastAsiaTheme="majorEastAsia" w:hAnsi="Verdana" w:cstheme="majorBidi"/>
      <w:iCs/>
      <w:spacing w:val="15"/>
      <w:szCs w:val="24"/>
      <w:u w:val="single"/>
      <w:lang w:val="fr-FR" w:eastAsia="fr-FR"/>
    </w:rPr>
  </w:style>
  <w:style w:type="character" w:customStyle="1" w:styleId="Titre2Car">
    <w:name w:val="Titre 2 Car"/>
    <w:basedOn w:val="Policepardfaut"/>
    <w:link w:val="Titre2"/>
    <w:semiHidden/>
    <w:rsid w:val="00525B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351C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C342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525B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236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1236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312360"/>
  </w:style>
  <w:style w:type="paragraph" w:styleId="Corpsdetexte3">
    <w:name w:val="Body Text 3"/>
    <w:basedOn w:val="Normal"/>
    <w:rsid w:val="00312360"/>
    <w:rPr>
      <w:rFonts w:ascii="Book Antiqua" w:hAnsi="Book Antiqua"/>
      <w:color w:val="0000FF"/>
      <w:szCs w:val="20"/>
    </w:rPr>
  </w:style>
  <w:style w:type="table" w:styleId="Grilledutableau">
    <w:name w:val="Table Grid"/>
    <w:basedOn w:val="TableauNormal"/>
    <w:rsid w:val="00312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C1AE9"/>
    <w:pPr>
      <w:spacing w:before="100" w:beforeAutospacing="1" w:after="100" w:afterAutospacing="1"/>
    </w:pPr>
  </w:style>
  <w:style w:type="paragraph" w:customStyle="1" w:styleId="Style1">
    <w:name w:val="Style1"/>
    <w:basedOn w:val="Normal"/>
    <w:link w:val="Style1Car"/>
    <w:qFormat/>
    <w:rsid w:val="00C34293"/>
    <w:pPr>
      <w:spacing w:before="120"/>
      <w:jc w:val="both"/>
    </w:pPr>
    <w:rPr>
      <w:rFonts w:ascii="Verdana" w:hAnsi="Verdana"/>
      <w:b/>
      <w:bCs/>
      <w:sz w:val="28"/>
      <w:szCs w:val="28"/>
      <w:u w:val="single"/>
    </w:rPr>
  </w:style>
  <w:style w:type="character" w:customStyle="1" w:styleId="Titre1Car">
    <w:name w:val="Titre 1 Car"/>
    <w:link w:val="Titre1"/>
    <w:rsid w:val="00C34293"/>
    <w:rPr>
      <w:rFonts w:ascii="Cambria" w:eastAsia="Times New Roman" w:hAnsi="Cambria" w:cs="Times New Roman"/>
      <w:b/>
      <w:bCs/>
      <w:kern w:val="32"/>
      <w:sz w:val="32"/>
      <w:szCs w:val="32"/>
      <w:lang w:val="fr-FR" w:eastAsia="fr-FR"/>
    </w:rPr>
  </w:style>
  <w:style w:type="character" w:customStyle="1" w:styleId="Style1Car">
    <w:name w:val="Style1 Car"/>
    <w:link w:val="Style1"/>
    <w:rsid w:val="00C34293"/>
    <w:rPr>
      <w:rFonts w:ascii="Verdana" w:hAnsi="Verdana"/>
      <w:b/>
      <w:bCs/>
      <w:sz w:val="28"/>
      <w:szCs w:val="28"/>
      <w:u w:val="single"/>
      <w:lang w:val="fr-FR"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3429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ja-JP"/>
    </w:rPr>
  </w:style>
  <w:style w:type="paragraph" w:styleId="TM1">
    <w:name w:val="toc 1"/>
    <w:basedOn w:val="Normal"/>
    <w:next w:val="Normal"/>
    <w:autoRedefine/>
    <w:uiPriority w:val="39"/>
    <w:rsid w:val="00AC5ABF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TM2">
    <w:name w:val="toc 2"/>
    <w:basedOn w:val="Normal"/>
    <w:next w:val="Normal"/>
    <w:autoRedefine/>
    <w:uiPriority w:val="39"/>
    <w:rsid w:val="00AC5ABF"/>
    <w:pPr>
      <w:ind w:left="240"/>
    </w:pPr>
    <w:rPr>
      <w:rFonts w:ascii="Calibri" w:hAnsi="Calibri"/>
      <w:smallCaps/>
      <w:sz w:val="20"/>
      <w:szCs w:val="20"/>
    </w:rPr>
  </w:style>
  <w:style w:type="paragraph" w:styleId="TM3">
    <w:name w:val="toc 3"/>
    <w:basedOn w:val="Normal"/>
    <w:next w:val="Normal"/>
    <w:autoRedefine/>
    <w:rsid w:val="00AC5ABF"/>
    <w:pPr>
      <w:ind w:left="480"/>
    </w:pPr>
    <w:rPr>
      <w:rFonts w:ascii="Calibri" w:hAnsi="Calibri"/>
      <w:i/>
      <w:iCs/>
      <w:sz w:val="20"/>
      <w:szCs w:val="20"/>
    </w:rPr>
  </w:style>
  <w:style w:type="paragraph" w:styleId="TM4">
    <w:name w:val="toc 4"/>
    <w:basedOn w:val="Normal"/>
    <w:next w:val="Normal"/>
    <w:autoRedefine/>
    <w:rsid w:val="00AC5ABF"/>
    <w:pPr>
      <w:ind w:left="72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rsid w:val="00AC5ABF"/>
    <w:pPr>
      <w:ind w:left="96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rsid w:val="00AC5ABF"/>
    <w:pPr>
      <w:ind w:left="12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rsid w:val="00AC5ABF"/>
    <w:pPr>
      <w:ind w:left="144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rsid w:val="00AC5ABF"/>
    <w:pPr>
      <w:ind w:left="168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rsid w:val="00AC5ABF"/>
    <w:pPr>
      <w:ind w:left="1920"/>
    </w:pPr>
    <w:rPr>
      <w:rFonts w:ascii="Calibri" w:hAnsi="Calibri"/>
      <w:sz w:val="18"/>
      <w:szCs w:val="18"/>
    </w:rPr>
  </w:style>
  <w:style w:type="character" w:styleId="Lienhypertexte">
    <w:name w:val="Hyperlink"/>
    <w:uiPriority w:val="99"/>
    <w:unhideWhenUsed/>
    <w:rsid w:val="00AC5ABF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FA22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A228E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3A25F1"/>
    <w:pPr>
      <w:ind w:left="720"/>
      <w:contextualSpacing/>
    </w:pPr>
  </w:style>
  <w:style w:type="character" w:styleId="Marquedecommentaire">
    <w:name w:val="annotation reference"/>
    <w:basedOn w:val="Policepardfaut"/>
    <w:rsid w:val="00F05B42"/>
    <w:rPr>
      <w:sz w:val="16"/>
      <w:szCs w:val="16"/>
    </w:rPr>
  </w:style>
  <w:style w:type="paragraph" w:styleId="Commentaire">
    <w:name w:val="annotation text"/>
    <w:basedOn w:val="Normal"/>
    <w:link w:val="CommentaireCar"/>
    <w:rsid w:val="00F05B4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F05B42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F05B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F05B42"/>
    <w:rPr>
      <w:b/>
      <w:bCs/>
      <w:lang w:val="fr-FR" w:eastAsia="fr-FR"/>
    </w:rPr>
  </w:style>
  <w:style w:type="character" w:styleId="Lienhypertextesuivivisit">
    <w:name w:val="FollowedHyperlink"/>
    <w:basedOn w:val="Policepardfaut"/>
    <w:rsid w:val="00FD065A"/>
    <w:rPr>
      <w:color w:val="800080" w:themeColor="followedHyperlink"/>
      <w:u w:val="single"/>
    </w:rPr>
  </w:style>
  <w:style w:type="paragraph" w:styleId="Sous-titre">
    <w:name w:val="Subtitle"/>
    <w:basedOn w:val="Normal"/>
    <w:next w:val="Normal"/>
    <w:link w:val="Sous-titreCar"/>
    <w:qFormat/>
    <w:rsid w:val="00525BDE"/>
    <w:pPr>
      <w:numPr>
        <w:numId w:val="19"/>
      </w:numPr>
      <w:jc w:val="both"/>
    </w:pPr>
    <w:rPr>
      <w:rFonts w:ascii="Verdana" w:eastAsiaTheme="majorEastAsia" w:hAnsi="Verdana" w:cstheme="majorBidi"/>
      <w:iCs/>
      <w:spacing w:val="15"/>
      <w:sz w:val="20"/>
      <w:u w:val="single"/>
    </w:rPr>
  </w:style>
  <w:style w:type="character" w:customStyle="1" w:styleId="Sous-titreCar">
    <w:name w:val="Sous-titre Car"/>
    <w:basedOn w:val="Policepardfaut"/>
    <w:link w:val="Sous-titre"/>
    <w:rsid w:val="00525BDE"/>
    <w:rPr>
      <w:rFonts w:ascii="Verdana" w:eastAsiaTheme="majorEastAsia" w:hAnsi="Verdana" w:cstheme="majorBidi"/>
      <w:iCs/>
      <w:spacing w:val="15"/>
      <w:szCs w:val="24"/>
      <w:u w:val="single"/>
      <w:lang w:val="fr-FR" w:eastAsia="fr-FR"/>
    </w:rPr>
  </w:style>
  <w:style w:type="character" w:customStyle="1" w:styleId="Titre2Car">
    <w:name w:val="Titre 2 Car"/>
    <w:basedOn w:val="Policepardfaut"/>
    <w:link w:val="Titre2"/>
    <w:semiHidden/>
    <w:rsid w:val="00525B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5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4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3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7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73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9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5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4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2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3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2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3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6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0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0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7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4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8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7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2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7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3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4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1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3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7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7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6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8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5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0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6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4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5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2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0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4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3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0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9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3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8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0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7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7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7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3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2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91E4A-CCE4-4783-8EAA-A1AFCBE9B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9</Pages>
  <Words>2354</Words>
  <Characters>13199</Characters>
  <Application>Microsoft Office Word</Application>
  <DocSecurity>0</DocSecurity>
  <Lines>109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</vt:lpstr>
    </vt:vector>
  </TitlesOfParts>
  <Company>Aubert &amp; Duval</Company>
  <LinksUpToDate>false</LinksUpToDate>
  <CharactersWithSpaces>15522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</dc:title>
  <dc:creator>ADM2006-D</dc:creator>
  <cp:lastModifiedBy>Jessica Escaffre</cp:lastModifiedBy>
  <cp:revision>70</cp:revision>
  <cp:lastPrinted>2012-03-21T15:30:00Z</cp:lastPrinted>
  <dcterms:created xsi:type="dcterms:W3CDTF">2015-11-23T14:40:00Z</dcterms:created>
  <dcterms:modified xsi:type="dcterms:W3CDTF">2015-12-03T17:02:00Z</dcterms:modified>
</cp:coreProperties>
</file>