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5B482E">
        <w:rPr>
          <w:bCs/>
          <w:iCs/>
          <w:color w:val="000000"/>
        </w:rPr>
        <w:t>6</w:t>
      </w:r>
      <w:r w:rsidR="005A0F58">
        <w:rPr>
          <w:bCs/>
          <w:iCs/>
          <w:color w:val="000000"/>
        </w:rPr>
        <w:t>.005</w:t>
      </w:r>
      <w:r w:rsidR="008D7F89" w:rsidRPr="008D7F89">
        <w:rPr>
          <w:bCs/>
          <w:iCs/>
          <w:color w:val="000000"/>
        </w:rPr>
        <w:t>.000</w:t>
      </w:r>
      <w:r w:rsidR="00F702DE">
        <w:rPr>
          <w:bCs/>
          <w:iCs/>
          <w:color w:val="000000"/>
        </w:rPr>
        <w:t>,00</w:t>
      </w:r>
      <w:r w:rsidR="008D7F89" w:rsidRPr="008D7F89">
        <w:rPr>
          <w:bCs/>
          <w:iCs/>
          <w:color w:val="000000"/>
        </w:rPr>
        <w:t xml:space="preserve"> </w:t>
      </w:r>
      <w:r w:rsidR="00F115E1">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4E621D" w:rsidRDefault="0079277F" w:rsidP="00A405D4">
      <w:pPr>
        <w:widowControl w:val="0"/>
        <w:tabs>
          <w:tab w:val="left" w:pos="0"/>
        </w:tabs>
        <w:jc w:val="center"/>
        <w:rPr>
          <w:bCs/>
          <w:iCs/>
          <w:color w:val="000000"/>
        </w:rPr>
      </w:pPr>
      <w:r w:rsidRPr="004E621D">
        <w:rPr>
          <w:bCs/>
          <w:iCs/>
          <w:color w:val="000000"/>
        </w:rPr>
        <w:t xml:space="preserve">RCS </w:t>
      </w:r>
      <w:r w:rsidR="004E621D">
        <w:rPr>
          <w:bCs/>
          <w:iCs/>
          <w:color w:val="000000"/>
        </w:rPr>
        <w:t>PARIS n</w:t>
      </w:r>
      <w:r w:rsidR="004E621D" w:rsidRPr="004E621D">
        <w:rPr>
          <w:bCs/>
          <w:iCs/>
          <w:color w:val="000000"/>
        </w:rPr>
        <w:t>°</w:t>
      </w:r>
      <w:r w:rsidR="004E621D">
        <w:rPr>
          <w:bCs/>
          <w:iCs/>
          <w:color w:val="000000"/>
        </w:rPr>
        <w:t xml:space="preserve"> </w:t>
      </w:r>
      <w:r w:rsidR="00942E3B">
        <w:rPr>
          <w:bCs/>
          <w:iCs/>
          <w:color w:val="000000"/>
        </w:rPr>
        <w:t>801 118 399</w:t>
      </w:r>
    </w:p>
    <w:p w:rsidR="00AF1E7F" w:rsidRPr="00260C7B" w:rsidRDefault="009930F1"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4E621D" w:rsidP="003F6B24">
      <w:pPr>
        <w:jc w:val="center"/>
        <w:rPr>
          <w:b/>
          <w:sz w:val="40"/>
          <w:szCs w:val="40"/>
        </w:rPr>
      </w:pPr>
      <w:r>
        <w:rPr>
          <w:b/>
          <w:sz w:val="40"/>
          <w:szCs w:val="40"/>
        </w:rPr>
        <w:t>STATUTS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4E621D" w:rsidRDefault="004E621D" w:rsidP="00DA627C">
      <w:pPr>
        <w:jc w:val="center"/>
        <w:rPr>
          <w:b/>
          <w:color w:val="000000"/>
        </w:rPr>
      </w:pPr>
    </w:p>
    <w:p w:rsidR="004E621D" w:rsidRDefault="004E621D" w:rsidP="004E621D">
      <w:pPr>
        <w:tabs>
          <w:tab w:val="left" w:pos="567"/>
          <w:tab w:val="left" w:pos="993"/>
          <w:tab w:val="left" w:pos="1418"/>
          <w:tab w:val="left" w:pos="1843"/>
        </w:tabs>
        <w:jc w:val="center"/>
        <w:rPr>
          <w:b/>
          <w:color w:val="000000"/>
          <w:u w:val="single"/>
        </w:rPr>
      </w:pPr>
    </w:p>
    <w:p w:rsidR="00FD5FDD" w:rsidRPr="004E621D" w:rsidRDefault="004E621D" w:rsidP="004E621D">
      <w:pPr>
        <w:tabs>
          <w:tab w:val="left" w:pos="567"/>
          <w:tab w:val="left" w:pos="993"/>
          <w:tab w:val="left" w:pos="1418"/>
          <w:tab w:val="left" w:pos="1843"/>
        </w:tabs>
        <w:jc w:val="center"/>
        <w:rPr>
          <w:b/>
          <w:color w:val="000000"/>
          <w:u w:val="single"/>
        </w:rPr>
      </w:pPr>
      <w:r w:rsidRPr="004E621D">
        <w:rPr>
          <w:i/>
          <w:color w:val="000000"/>
        </w:rPr>
        <w:t>(</w:t>
      </w:r>
      <w:proofErr w:type="gramStart"/>
      <w:r w:rsidRPr="004E621D">
        <w:rPr>
          <w:i/>
          <w:color w:val="000000"/>
        </w:rPr>
        <w:t>mis</w:t>
      </w:r>
      <w:proofErr w:type="gramEnd"/>
      <w:r w:rsidRPr="004E621D">
        <w:rPr>
          <w:i/>
          <w:color w:val="000000"/>
        </w:rPr>
        <w:t xml:space="preserve"> à jour suite à l’Assemblée </w:t>
      </w:r>
      <w:r w:rsidRPr="00C96413">
        <w:rPr>
          <w:i/>
          <w:color w:val="000000"/>
        </w:rPr>
        <w:t xml:space="preserve">générale du </w:t>
      </w:r>
      <w:r w:rsidRPr="00C96413">
        <w:rPr>
          <w:rStyle w:val="txt"/>
          <w:i/>
        </w:rPr>
        <w:t>[●]</w:t>
      </w:r>
      <w:r w:rsidRPr="004E621D">
        <w:rPr>
          <w:rStyle w:val="txt"/>
        </w:rPr>
        <w:t>)</w:t>
      </w:r>
      <w:r w:rsidR="00B713DB" w:rsidRPr="004E621D">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r w:rsidR="004E621D">
        <w:t xml:space="preserve">lingots ou </w:t>
      </w:r>
      <w:r>
        <w:t xml:space="preserve">demi-produits métalliques issus de fusions et/ou refusions de matières secondaires recyclées ou de matières premières vierges, en particulier dans le domaine du titane et des </w:t>
      </w:r>
      <w:r w:rsidR="004E621D">
        <w:t>métaux à haut point de fusion</w:t>
      </w:r>
      <w:r w:rsidR="00942E3B">
        <w:t>, ainsi que la conduite de toutes études de recherche et d</w:t>
      </w:r>
      <w:r w:rsidR="00942E3B">
        <w:t xml:space="preserve">éveloppement dans les domaines </w:t>
      </w:r>
      <w:r w:rsidR="00942E3B">
        <w:t>liés à son activité</w:t>
      </w:r>
      <w:r w:rsidR="004E621D">
        <w:t>.</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w:t>
      </w:r>
      <w:r w:rsidR="00942E3B">
        <w:t xml:space="preserve"> scientifiques,</w:t>
      </w:r>
      <w:r w:rsidRPr="003D6A76">
        <w:t xml:space="preserve">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712F7B" w:rsidRPr="00260C7B" w:rsidRDefault="000558DC" w:rsidP="00DA627C">
      <w:pPr>
        <w:rPr>
          <w:b/>
          <w:u w:val="single"/>
        </w:rPr>
      </w:pPr>
      <w:r w:rsidRPr="00260C7B">
        <w:rPr>
          <w:b/>
          <w:u w:val="single"/>
        </w:rPr>
        <w:lastRenderedPageBreak/>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A la constitution de la Société, il a été fait apport de</w:t>
      </w:r>
      <w:r w:rsidR="00942E3B">
        <w:rPr>
          <w:rFonts w:ascii="Times New Roman" w:hAnsi="Times New Roman"/>
          <w:sz w:val="24"/>
        </w:rPr>
        <w:t xml:space="preserve"> 10.000,00 €</w:t>
      </w:r>
      <w:r w:rsidR="007849EF">
        <w:rPr>
          <w:rFonts w:ascii="Times New Roman" w:hAnsi="Times New Roman"/>
          <w:sz w:val="24"/>
        </w:rPr>
        <w:t xml:space="preserve"> par la société</w:t>
      </w:r>
      <w:r>
        <w:rPr>
          <w:rFonts w:ascii="Times New Roman" w:hAnsi="Times New Roman"/>
          <w:sz w:val="24"/>
        </w:rPr>
        <w:t xml:space="preserve"> </w:t>
      </w:r>
      <w:r w:rsidR="00040436">
        <w:rPr>
          <w:rFonts w:ascii="Times New Roman" w:hAnsi="Times New Roman"/>
          <w:sz w:val="24"/>
        </w:rPr>
        <w:t>UKAD</w:t>
      </w:r>
      <w:r w:rsidR="007849EF">
        <w:rPr>
          <w:rFonts w:ascii="Times New Roman" w:hAnsi="Times New Roman"/>
          <w:sz w:val="24"/>
        </w:rPr>
        <w:t xml:space="preserve">, </w:t>
      </w:r>
      <w:r w:rsidR="007849EF" w:rsidRPr="00115E3D">
        <w:rPr>
          <w:rFonts w:ascii="Times New Roman" w:hAnsi="Times New Roman"/>
          <w:sz w:val="24"/>
          <w:szCs w:val="24"/>
        </w:rPr>
        <w:t>correspondant à</w:t>
      </w:r>
      <w:r w:rsidR="007849EF">
        <w:rPr>
          <w:rFonts w:ascii="Times New Roman" w:hAnsi="Times New Roman"/>
          <w:sz w:val="24"/>
          <w:szCs w:val="24"/>
        </w:rPr>
        <w:t xml:space="preserve"> la souscription de</w:t>
      </w:r>
      <w:r w:rsidR="007849EF" w:rsidRPr="00115E3D">
        <w:rPr>
          <w:rFonts w:ascii="Times New Roman" w:hAnsi="Times New Roman"/>
          <w:sz w:val="24"/>
          <w:szCs w:val="24"/>
        </w:rPr>
        <w:t xml:space="preserve"> </w:t>
      </w:r>
      <w:r w:rsidR="00AD0D67">
        <w:rPr>
          <w:rFonts w:ascii="Times New Roman" w:hAnsi="Times New Roman"/>
          <w:bCs/>
          <w:iCs/>
          <w:color w:val="000000"/>
          <w:sz w:val="24"/>
          <w:szCs w:val="24"/>
        </w:rPr>
        <w:t>1</w:t>
      </w:r>
      <w:r w:rsidR="007849EF">
        <w:rPr>
          <w:rFonts w:ascii="Times New Roman" w:hAnsi="Times New Roman"/>
          <w:bCs/>
          <w:iCs/>
          <w:color w:val="000000"/>
          <w:sz w:val="24"/>
          <w:szCs w:val="24"/>
        </w:rPr>
        <w:t>00</w:t>
      </w:r>
      <w:r w:rsidR="007849EF" w:rsidRPr="00115E3D">
        <w:rPr>
          <w:rFonts w:ascii="Times New Roman" w:hAnsi="Times New Roman"/>
          <w:bCs/>
          <w:iCs/>
          <w:color w:val="000000"/>
          <w:sz w:val="24"/>
          <w:szCs w:val="24"/>
        </w:rPr>
        <w:t xml:space="preserve"> </w:t>
      </w:r>
      <w:r w:rsidR="007849EF" w:rsidRPr="00115E3D">
        <w:rPr>
          <w:rFonts w:ascii="Times New Roman" w:hAnsi="Times New Roman"/>
          <w:sz w:val="24"/>
          <w:szCs w:val="24"/>
        </w:rPr>
        <w:t>actions ordinaires 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 souscrites et libérées en totalité</w:t>
      </w:r>
      <w:r>
        <w:rPr>
          <w:rFonts w:ascii="Times New Roman" w:hAnsi="Times New Roman"/>
          <w:sz w:val="24"/>
        </w:rPr>
        <w:t>.</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 xml:space="preserve">Lors d’une Assemblée générale tenue le </w:t>
      </w:r>
      <w:r w:rsidRPr="004E621D">
        <w:rPr>
          <w:rFonts w:ascii="Times New Roman" w:hAnsi="Times New Roman"/>
          <w:sz w:val="24"/>
        </w:rPr>
        <w:t>[●]</w:t>
      </w:r>
      <w:r>
        <w:rPr>
          <w:rFonts w:ascii="Times New Roman" w:hAnsi="Times New Roman"/>
          <w:sz w:val="24"/>
        </w:rPr>
        <w:t>, i</w:t>
      </w:r>
      <w:r w:rsidR="001706BA" w:rsidRPr="001706BA">
        <w:rPr>
          <w:rFonts w:ascii="Times New Roman" w:hAnsi="Times New Roman"/>
          <w:sz w:val="24"/>
        </w:rPr>
        <w:t xml:space="preserve">l a été </w:t>
      </w:r>
      <w:r>
        <w:rPr>
          <w:rFonts w:ascii="Times New Roman" w:hAnsi="Times New Roman"/>
          <w:sz w:val="24"/>
        </w:rPr>
        <w:t>décidé une augmentation de capital par apports en num</w:t>
      </w:r>
      <w:r w:rsidR="00942E3B">
        <w:rPr>
          <w:rFonts w:ascii="Times New Roman" w:hAnsi="Times New Roman"/>
          <w:sz w:val="24"/>
        </w:rPr>
        <w:t xml:space="preserve">éraire d’un montant total de </w:t>
      </w:r>
      <w:r w:rsidR="005B482E">
        <w:rPr>
          <w:rFonts w:ascii="Times New Roman" w:hAnsi="Times New Roman"/>
          <w:sz w:val="24"/>
        </w:rPr>
        <w:t>5</w:t>
      </w:r>
      <w:r w:rsidR="00C736AE">
        <w:rPr>
          <w:rFonts w:ascii="Times New Roman" w:hAnsi="Times New Roman"/>
          <w:sz w:val="24"/>
        </w:rPr>
        <w:t>.995</w:t>
      </w:r>
      <w:r w:rsidR="00942E3B">
        <w:rPr>
          <w:rFonts w:ascii="Times New Roman" w:hAnsi="Times New Roman"/>
          <w:sz w:val="24"/>
        </w:rPr>
        <w:t>.000,00€</w:t>
      </w:r>
      <w:r>
        <w:rPr>
          <w:rFonts w:ascii="Times New Roman" w:hAnsi="Times New Roman"/>
          <w:sz w:val="24"/>
        </w:rPr>
        <w:t>, laquelle a été intégralement souscrite par les personnes morales suivantes et libérées dans les proportions mentionnées ci-après :</w:t>
      </w:r>
    </w:p>
    <w:p w:rsidR="004E621D" w:rsidRDefault="004E621D" w:rsidP="00DA627C">
      <w:pPr>
        <w:pStyle w:val="Body"/>
        <w:spacing w:after="0" w:line="240" w:lineRule="auto"/>
        <w:rPr>
          <w:rFonts w:ascii="Times New Roman" w:hAnsi="Times New Roman"/>
          <w:sz w:val="24"/>
        </w:rPr>
      </w:pPr>
    </w:p>
    <w:p w:rsidR="00DC3FED" w:rsidRPr="00115E3D" w:rsidRDefault="004E621D"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la société</w:t>
      </w:r>
      <w:r w:rsidR="00DC3FED" w:rsidRPr="00115E3D">
        <w:rPr>
          <w:rFonts w:ascii="Times New Roman" w:hAnsi="Times New Roman"/>
          <w:bCs/>
          <w:iCs/>
          <w:color w:val="000000"/>
          <w:sz w:val="24"/>
          <w:szCs w:val="24"/>
        </w:rPr>
        <w:t xml:space="preserve"> </w:t>
      </w:r>
      <w:r w:rsidR="0023740E">
        <w:rPr>
          <w:rFonts w:ascii="Times New Roman" w:hAnsi="Times New Roman"/>
          <w:bCs/>
          <w:iCs/>
          <w:color w:val="000000"/>
          <w:sz w:val="24"/>
          <w:szCs w:val="24"/>
        </w:rPr>
        <w:t>UKAD</w:t>
      </w:r>
      <w:r w:rsidR="00AD0D67">
        <w:rPr>
          <w:rStyle w:val="txt"/>
          <w:rFonts w:ascii="Times New Roman" w:hAnsi="Times New Roman"/>
          <w:sz w:val="24"/>
          <w:szCs w:val="24"/>
        </w:rPr>
        <w:t xml:space="preserve"> a souscrit </w:t>
      </w:r>
      <w:r w:rsidR="00942E3B">
        <w:rPr>
          <w:rStyle w:val="txt"/>
          <w:rFonts w:ascii="Times New Roman" w:hAnsi="Times New Roman"/>
          <w:sz w:val="24"/>
          <w:szCs w:val="24"/>
        </w:rPr>
        <w:t>26.000</w:t>
      </w:r>
      <w:r w:rsidR="007849EF">
        <w:rPr>
          <w:rStyle w:val="txt"/>
          <w:rFonts w:ascii="Times New Roman" w:hAnsi="Times New Roman"/>
          <w:sz w:val="24"/>
          <w:szCs w:val="24"/>
        </w:rPr>
        <w:t xml:space="preserve"> 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w:t>
      </w:r>
      <w:r w:rsidR="007849EF">
        <w:rPr>
          <w:rFonts w:ascii="Times New Roman" w:hAnsi="Times New Roman"/>
          <w:sz w:val="24"/>
          <w:szCs w:val="24"/>
        </w:rPr>
        <w:t>libérées, soit</w:t>
      </w:r>
      <w:r w:rsidR="007849EF" w:rsidRPr="00115E3D">
        <w:rPr>
          <w:rStyle w:val="txt"/>
          <w:rFonts w:ascii="Times New Roman" w:hAnsi="Times New Roman"/>
          <w:sz w:val="24"/>
          <w:szCs w:val="24"/>
        </w:rPr>
        <w:t xml:space="preserve"> </w:t>
      </w:r>
      <w:r w:rsidR="00DC3FED" w:rsidRPr="00115E3D">
        <w:rPr>
          <w:rStyle w:val="txt"/>
          <w:rFonts w:ascii="Times New Roman" w:hAnsi="Times New Roman"/>
          <w:sz w:val="24"/>
          <w:szCs w:val="24"/>
        </w:rPr>
        <w:t xml:space="preserve">un </w:t>
      </w:r>
      <w:r w:rsidR="00DC3FED" w:rsidRPr="00115E3D">
        <w:rPr>
          <w:rFonts w:ascii="Times New Roman" w:hAnsi="Times New Roman"/>
          <w:sz w:val="24"/>
          <w:szCs w:val="24"/>
        </w:rPr>
        <w:t xml:space="preserve">apport en numéraire d’un montant de </w:t>
      </w:r>
      <w:r w:rsidR="005B482E">
        <w:rPr>
          <w:rFonts w:ascii="Times New Roman" w:hAnsi="Times New Roman"/>
          <w:bCs/>
          <w:iCs/>
          <w:color w:val="000000"/>
          <w:sz w:val="24"/>
          <w:szCs w:val="24"/>
        </w:rPr>
        <w:t>2.600</w:t>
      </w:r>
      <w:r w:rsidR="0023740E">
        <w:rPr>
          <w:rFonts w:ascii="Times New Roman" w:hAnsi="Times New Roman"/>
          <w:bCs/>
          <w:iCs/>
          <w:color w:val="000000"/>
          <w:sz w:val="24"/>
          <w:szCs w:val="24"/>
        </w:rPr>
        <w:t>.000,00 €</w:t>
      </w:r>
      <w:r w:rsidR="007849EF">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5C56FA" w:rsidP="00BF61F4">
      <w:pPr>
        <w:pStyle w:val="Body"/>
        <w:numPr>
          <w:ilvl w:val="0"/>
          <w:numId w:val="1"/>
        </w:numPr>
        <w:spacing w:after="0" w:line="240" w:lineRule="auto"/>
        <w:rPr>
          <w:rFonts w:ascii="Times New Roman" w:hAnsi="Times New Roman"/>
          <w:sz w:val="24"/>
          <w:szCs w:val="24"/>
        </w:rPr>
      </w:pPr>
      <w:r w:rsidRPr="005C56FA">
        <w:rPr>
          <w:rFonts w:ascii="Times New Roman" w:hAnsi="Times New Roman"/>
          <w:bCs/>
          <w:iCs/>
          <w:color w:val="000000"/>
          <w:sz w:val="24"/>
          <w:szCs w:val="24"/>
        </w:rPr>
        <w:t>L’Agence de l’Environnement et de la Maîtrise de l’Energie</w:t>
      </w:r>
      <w:r w:rsidR="00743022">
        <w:rPr>
          <w:rFonts w:ascii="Times New Roman" w:hAnsi="Times New Roman"/>
          <w:bCs/>
          <w:iCs/>
          <w:color w:val="000000"/>
          <w:sz w:val="24"/>
          <w:szCs w:val="24"/>
        </w:rPr>
        <w:t xml:space="preserve"> (« </w:t>
      </w:r>
      <w:r w:rsidR="00743022" w:rsidRPr="00743022">
        <w:rPr>
          <w:rFonts w:ascii="Times New Roman" w:hAnsi="Times New Roman"/>
          <w:b/>
          <w:bCs/>
          <w:iCs/>
          <w:color w:val="000000"/>
          <w:sz w:val="24"/>
          <w:szCs w:val="24"/>
        </w:rPr>
        <w:t>ADEME</w:t>
      </w:r>
      <w:r w:rsidR="00743022">
        <w:rPr>
          <w:rFonts w:ascii="Times New Roman" w:hAnsi="Times New Roman"/>
          <w:bCs/>
          <w:iCs/>
          <w:color w:val="000000"/>
          <w:sz w:val="24"/>
          <w:szCs w:val="24"/>
        </w:rPr>
        <w:t> »)</w:t>
      </w:r>
      <w:r w:rsidR="00070C62">
        <w:rPr>
          <w:rFonts w:ascii="Times New Roman" w:hAnsi="Times New Roman"/>
          <w:bCs/>
          <w:iCs/>
          <w:color w:val="000000"/>
          <w:sz w:val="24"/>
          <w:szCs w:val="24"/>
        </w:rPr>
        <w:t>, agissant au nom et pour le compte de l’Etat français,</w:t>
      </w:r>
      <w:r w:rsidR="007849EF" w:rsidRPr="007849EF">
        <w:rPr>
          <w:rStyle w:val="txt"/>
          <w:rFonts w:ascii="Times New Roman" w:hAnsi="Times New Roman"/>
          <w:sz w:val="24"/>
          <w:szCs w:val="24"/>
        </w:rPr>
        <w:t xml:space="preserve"> </w:t>
      </w:r>
      <w:r w:rsidR="007849EF">
        <w:rPr>
          <w:rStyle w:val="txt"/>
          <w:rFonts w:ascii="Times New Roman" w:hAnsi="Times New Roman"/>
          <w:sz w:val="24"/>
          <w:szCs w:val="24"/>
        </w:rPr>
        <w:t xml:space="preserve">a souscrit </w:t>
      </w:r>
      <w:r w:rsidR="00340878">
        <w:rPr>
          <w:rFonts w:ascii="Times New Roman" w:hAnsi="Times New Roman"/>
          <w:bCs/>
          <w:iCs/>
          <w:color w:val="000000"/>
          <w:sz w:val="24"/>
          <w:szCs w:val="24"/>
        </w:rPr>
        <w:t>24.79</w:t>
      </w:r>
      <w:r w:rsidR="00942E3B">
        <w:rPr>
          <w:rFonts w:ascii="Times New Roman" w:hAnsi="Times New Roman"/>
          <w:bCs/>
          <w:iCs/>
          <w:color w:val="000000"/>
          <w:sz w:val="24"/>
          <w:szCs w:val="24"/>
        </w:rPr>
        <w:t>0</w:t>
      </w:r>
      <w:r w:rsidR="007849EF" w:rsidRPr="00115E3D">
        <w:rPr>
          <w:rFonts w:ascii="Times New Roman" w:hAnsi="Times New Roman"/>
          <w:bCs/>
          <w:iCs/>
          <w:color w:val="000000"/>
          <w:sz w:val="24"/>
          <w:szCs w:val="24"/>
        </w:rPr>
        <w:t xml:space="preserve"> </w:t>
      </w:r>
      <w:r w:rsidR="007849EF">
        <w:rPr>
          <w:rStyle w:val="txt"/>
          <w:rFonts w:ascii="Times New Roman" w:hAnsi="Times New Roman"/>
          <w:sz w:val="24"/>
          <w:szCs w:val="24"/>
        </w:rPr>
        <w:t xml:space="preserve">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xml:space="preserve">, </w:t>
      </w:r>
      <w:r w:rsidR="005B482E">
        <w:rPr>
          <w:rFonts w:ascii="Times New Roman" w:hAnsi="Times New Roman"/>
          <w:sz w:val="24"/>
          <w:szCs w:val="24"/>
        </w:rPr>
        <w:t xml:space="preserve">intégralement libérées, </w:t>
      </w:r>
      <w:r w:rsidR="007849EF">
        <w:rPr>
          <w:rFonts w:ascii="Times New Roman" w:hAnsi="Times New Roman"/>
          <w:sz w:val="24"/>
          <w:szCs w:val="24"/>
        </w:rPr>
        <w:t>soit</w:t>
      </w:r>
      <w:r w:rsidR="007849EF" w:rsidRPr="00115E3D">
        <w:rPr>
          <w:rStyle w:val="txt"/>
          <w:rFonts w:ascii="Times New Roman" w:hAnsi="Times New Roman"/>
          <w:sz w:val="24"/>
          <w:szCs w:val="24"/>
        </w:rPr>
        <w:t xml:space="preserve"> un </w:t>
      </w:r>
      <w:r w:rsidR="007849EF" w:rsidRPr="00115E3D">
        <w:rPr>
          <w:rFonts w:ascii="Times New Roman" w:hAnsi="Times New Roman"/>
          <w:sz w:val="24"/>
          <w:szCs w:val="24"/>
        </w:rPr>
        <w:t xml:space="preserve">apport en numéraire d’un montant de </w:t>
      </w:r>
      <w:r w:rsidR="00340878">
        <w:rPr>
          <w:rFonts w:ascii="Times New Roman" w:hAnsi="Times New Roman"/>
          <w:bCs/>
          <w:iCs/>
          <w:color w:val="000000"/>
          <w:sz w:val="24"/>
          <w:szCs w:val="24"/>
        </w:rPr>
        <w:t>2.479</w:t>
      </w:r>
      <w:r w:rsidR="005B482E">
        <w:rPr>
          <w:rFonts w:ascii="Times New Roman" w:hAnsi="Times New Roman"/>
          <w:bCs/>
          <w:iCs/>
          <w:color w:val="000000"/>
          <w:sz w:val="24"/>
          <w:szCs w:val="24"/>
        </w:rPr>
        <w:t>.000,00</w:t>
      </w:r>
      <w:r w:rsidR="00942E3B">
        <w:rPr>
          <w:rFonts w:ascii="Times New Roman" w:hAnsi="Times New Roman"/>
          <w:bCs/>
          <w:iCs/>
          <w:color w:val="000000"/>
          <w:sz w:val="24"/>
          <w:szCs w:val="24"/>
        </w:rPr>
        <w:t xml:space="preserve"> </w:t>
      </w:r>
      <w:r w:rsidR="00115E3D" w:rsidRPr="00115E3D">
        <w:rPr>
          <w:rFonts w:ascii="Times New Roman" w:hAnsi="Times New Roman"/>
          <w:sz w:val="24"/>
          <w:szCs w:val="24"/>
        </w:rPr>
        <w:t>€</w:t>
      </w:r>
      <w:r w:rsidR="007849EF">
        <w:rPr>
          <w:rFonts w:ascii="Times New Roman" w:hAnsi="Times New Roman"/>
          <w:sz w:val="24"/>
          <w:szCs w:val="24"/>
        </w:rPr>
        <w:t xml:space="preserve"> </w:t>
      </w:r>
      <w:r w:rsidR="00115E3D" w:rsidRPr="00115E3D">
        <w:rPr>
          <w:rFonts w:ascii="Times New Roman" w:hAnsi="Times New Roman"/>
          <w:sz w:val="24"/>
          <w:szCs w:val="24"/>
        </w:rPr>
        <w:t>;</w:t>
      </w:r>
      <w:r w:rsidR="0023740E">
        <w:rPr>
          <w:rFonts w:ascii="Times New Roman" w:hAnsi="Times New Roman"/>
          <w:sz w:val="24"/>
          <w:szCs w:val="24"/>
        </w:rPr>
        <w:t xml:space="preserve"> et</w:t>
      </w:r>
    </w:p>
    <w:p w:rsidR="0023740E" w:rsidRDefault="0023740E" w:rsidP="0023740E">
      <w:pPr>
        <w:pStyle w:val="Paragraphedeliste"/>
      </w:pPr>
    </w:p>
    <w:p w:rsidR="0023740E" w:rsidRDefault="007849EF"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 xml:space="preserve">CACF DEVELOPPEMENT </w:t>
      </w:r>
      <w:r>
        <w:rPr>
          <w:rStyle w:val="txt"/>
          <w:rFonts w:ascii="Times New Roman" w:hAnsi="Times New Roman"/>
          <w:sz w:val="24"/>
          <w:szCs w:val="24"/>
        </w:rPr>
        <w:t xml:space="preserve">a souscrit </w:t>
      </w:r>
      <w:r w:rsidR="00340878">
        <w:rPr>
          <w:rFonts w:ascii="Times New Roman" w:hAnsi="Times New Roman"/>
          <w:bCs/>
          <w:iCs/>
          <w:color w:val="000000"/>
          <w:sz w:val="24"/>
          <w:szCs w:val="24"/>
        </w:rPr>
        <w:t>9.16</w:t>
      </w:r>
      <w:r w:rsidR="00942E3B">
        <w:rPr>
          <w:rFonts w:ascii="Times New Roman" w:hAnsi="Times New Roman"/>
          <w:bCs/>
          <w:iCs/>
          <w:color w:val="000000"/>
          <w:sz w:val="24"/>
          <w:szCs w:val="24"/>
        </w:rPr>
        <w:t>0</w:t>
      </w:r>
      <w:r w:rsidRPr="00115E3D">
        <w:rPr>
          <w:rFonts w:ascii="Times New Roman" w:hAnsi="Times New Roman"/>
          <w:bCs/>
          <w:iCs/>
          <w:color w:val="000000"/>
          <w:sz w:val="24"/>
          <w:szCs w:val="24"/>
        </w:rPr>
        <w:t xml:space="preserve"> </w:t>
      </w:r>
      <w:r>
        <w:rPr>
          <w:rStyle w:val="txt"/>
          <w:rFonts w:ascii="Times New Roman" w:hAnsi="Times New Roman"/>
          <w:sz w:val="24"/>
          <w:szCs w:val="24"/>
        </w:rPr>
        <w:t xml:space="preserve">actions ordinaires </w:t>
      </w:r>
      <w:r w:rsidRPr="00115E3D">
        <w:rPr>
          <w:rFonts w:ascii="Times New Roman" w:hAnsi="Times New Roman"/>
          <w:sz w:val="24"/>
          <w:szCs w:val="24"/>
        </w:rPr>
        <w:t>de 1</w:t>
      </w:r>
      <w:r>
        <w:rPr>
          <w:rFonts w:ascii="Times New Roman" w:hAnsi="Times New Roman"/>
          <w:sz w:val="24"/>
          <w:szCs w:val="24"/>
        </w:rPr>
        <w:t>0</w:t>
      </w:r>
      <w:r w:rsidR="00AD0D67">
        <w:rPr>
          <w:rFonts w:ascii="Times New Roman" w:hAnsi="Times New Roman"/>
          <w:sz w:val="24"/>
          <w:szCs w:val="24"/>
        </w:rPr>
        <w:t>0</w:t>
      </w:r>
      <w:r w:rsidRPr="00115E3D">
        <w:rPr>
          <w:rFonts w:ascii="Times New Roman" w:hAnsi="Times New Roman"/>
          <w:sz w:val="24"/>
          <w:szCs w:val="24"/>
        </w:rPr>
        <w:t xml:space="preserve"> € de valeur nominale chacune</w:t>
      </w:r>
      <w:r>
        <w:rPr>
          <w:rFonts w:ascii="Times New Roman" w:hAnsi="Times New Roman"/>
          <w:sz w:val="24"/>
          <w:szCs w:val="24"/>
        </w:rPr>
        <w:t xml:space="preserve">, </w:t>
      </w:r>
      <w:r w:rsidR="005B482E">
        <w:rPr>
          <w:rFonts w:ascii="Times New Roman" w:hAnsi="Times New Roman"/>
          <w:sz w:val="24"/>
          <w:szCs w:val="24"/>
        </w:rPr>
        <w:t>intégralement libérées</w:t>
      </w:r>
      <w:r>
        <w:rPr>
          <w:rFonts w:ascii="Times New Roman" w:hAnsi="Times New Roman"/>
          <w:sz w:val="24"/>
          <w:szCs w:val="24"/>
        </w:rPr>
        <w:t>, soit</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sidR="00340878">
        <w:rPr>
          <w:rFonts w:ascii="Times New Roman" w:hAnsi="Times New Roman"/>
          <w:sz w:val="24"/>
          <w:szCs w:val="24"/>
        </w:rPr>
        <w:t>916</w:t>
      </w:r>
      <w:r w:rsidR="005B482E">
        <w:rPr>
          <w:rFonts w:ascii="Times New Roman" w:hAnsi="Times New Roman"/>
          <w:sz w:val="24"/>
          <w:szCs w:val="24"/>
        </w:rPr>
        <w:t>.000</w:t>
      </w:r>
      <w:r w:rsidR="0023740E" w:rsidRPr="00115E3D">
        <w:rPr>
          <w:rFonts w:ascii="Times New Roman" w:hAnsi="Times New Roman"/>
          <w:bCs/>
          <w:iCs/>
          <w:color w:val="000000"/>
          <w:sz w:val="24"/>
          <w:szCs w:val="24"/>
        </w:rPr>
        <w:t xml:space="preserve"> </w:t>
      </w:r>
      <w:r w:rsidR="0023740E" w:rsidRPr="00115E3D">
        <w:rPr>
          <w:rFonts w:ascii="Times New Roman" w:hAnsi="Times New Roman"/>
          <w:sz w:val="24"/>
          <w:szCs w:val="24"/>
        </w:rPr>
        <w:t>€</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115E3D" w:rsidRDefault="00BD4ABB" w:rsidP="00115E3D">
      <w:pPr>
        <w:pStyle w:val="Paragraphedeliste"/>
        <w:ind w:left="0"/>
        <w:jc w:val="both"/>
      </w:pPr>
      <w:r>
        <w:lastRenderedPageBreak/>
        <w:t>Aux fins des présents S</w:t>
      </w:r>
      <w:r w:rsidR="00115E3D">
        <w:t xml:space="preserve">tatuts, </w:t>
      </w:r>
      <w:r w:rsidR="009443E9">
        <w:t>les</w:t>
      </w:r>
      <w:r w:rsidR="00115E3D">
        <w:t xml:space="preserve"> personne</w:t>
      </w:r>
      <w:r w:rsidR="009443E9">
        <w:t>s</w:t>
      </w:r>
      <w:r w:rsidR="00115E3D">
        <w:t xml:space="preserve"> </w:t>
      </w:r>
      <w:r w:rsidR="007849EF">
        <w:t>détenant</w:t>
      </w:r>
      <w:r w:rsidR="00115E3D">
        <w:t xml:space="preserve">, par voie d’acquisition, de souscription, de donation, d’échange, d’attribution ou de quelque autre manière que soit, des </w:t>
      </w:r>
      <w:r w:rsidR="00AD767B">
        <w:t>Titres</w:t>
      </w:r>
      <w:r w:rsidR="00115E3D">
        <w:t xml:space="preserve"> de la Société seront désigné</w:t>
      </w:r>
      <w:r w:rsidR="009443E9">
        <w:t>e</w:t>
      </w:r>
      <w:r w:rsidR="00115E3D">
        <w:t xml:space="preserve">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5B482E">
        <w:rPr>
          <w:rFonts w:ascii="Times New Roman" w:hAnsi="Times New Roman"/>
          <w:b/>
          <w:sz w:val="24"/>
        </w:rPr>
        <w:t>six</w:t>
      </w:r>
      <w:r w:rsidR="006466E5" w:rsidRPr="00BD4ABB">
        <w:rPr>
          <w:rFonts w:ascii="Times New Roman" w:hAnsi="Times New Roman"/>
          <w:b/>
          <w:sz w:val="24"/>
        </w:rPr>
        <w:t xml:space="preserve"> millions </w:t>
      </w:r>
      <w:r w:rsidR="00C736AE">
        <w:rPr>
          <w:rFonts w:ascii="Times New Roman" w:hAnsi="Times New Roman"/>
          <w:b/>
          <w:sz w:val="24"/>
        </w:rPr>
        <w:t xml:space="preserve">et cinq mille </w:t>
      </w:r>
      <w:r w:rsidR="006466E5" w:rsidRPr="00BD4ABB">
        <w:rPr>
          <w:rFonts w:ascii="Times New Roman" w:hAnsi="Times New Roman"/>
          <w:b/>
          <w:sz w:val="24"/>
        </w:rPr>
        <w:t>euros (</w:t>
      </w:r>
      <w:r w:rsidR="005B482E">
        <w:rPr>
          <w:rFonts w:ascii="Times New Roman" w:hAnsi="Times New Roman"/>
          <w:b/>
          <w:bCs/>
          <w:iCs/>
          <w:color w:val="000000"/>
          <w:sz w:val="24"/>
          <w:szCs w:val="24"/>
        </w:rPr>
        <w:t>6</w:t>
      </w:r>
      <w:r w:rsidR="006466E5" w:rsidRPr="00BD4ABB">
        <w:rPr>
          <w:rFonts w:ascii="Times New Roman" w:hAnsi="Times New Roman"/>
          <w:b/>
          <w:bCs/>
          <w:iCs/>
          <w:color w:val="000000"/>
          <w:sz w:val="24"/>
          <w:szCs w:val="24"/>
        </w:rPr>
        <w:t>.00</w:t>
      </w:r>
      <w:r w:rsidR="00C736AE">
        <w:rPr>
          <w:rFonts w:ascii="Times New Roman" w:hAnsi="Times New Roman"/>
          <w:b/>
          <w:bCs/>
          <w:iCs/>
          <w:color w:val="000000"/>
          <w:sz w:val="24"/>
          <w:szCs w:val="24"/>
        </w:rPr>
        <w:t>5</w:t>
      </w:r>
      <w:r w:rsidR="006466E5" w:rsidRPr="00BD4ABB">
        <w:rPr>
          <w:rFonts w:ascii="Times New Roman" w:hAnsi="Times New Roman"/>
          <w:b/>
          <w:bCs/>
          <w:iCs/>
          <w:color w:val="000000"/>
          <w:sz w:val="24"/>
          <w:szCs w:val="24"/>
        </w:rPr>
        <w:t>.000,00€)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w:t>
      </w:r>
      <w:r w:rsidR="005B482E">
        <w:rPr>
          <w:rFonts w:ascii="Times New Roman" w:hAnsi="Times New Roman"/>
          <w:sz w:val="24"/>
        </w:rPr>
        <w:t>soixante</w:t>
      </w:r>
      <w:r w:rsidR="006466E5">
        <w:rPr>
          <w:rFonts w:ascii="Times New Roman" w:hAnsi="Times New Roman"/>
          <w:sz w:val="24"/>
        </w:rPr>
        <w:t xml:space="preserve"> mille</w:t>
      </w:r>
      <w:r w:rsidRPr="00445762">
        <w:rPr>
          <w:rFonts w:ascii="Times New Roman" w:hAnsi="Times New Roman"/>
          <w:sz w:val="24"/>
        </w:rPr>
        <w:t xml:space="preserve"> </w:t>
      </w:r>
      <w:r w:rsidR="006466E5">
        <w:rPr>
          <w:rFonts w:ascii="Times New Roman" w:hAnsi="Times New Roman"/>
          <w:sz w:val="24"/>
        </w:rPr>
        <w:t>(</w:t>
      </w:r>
      <w:r w:rsidR="005B482E">
        <w:rPr>
          <w:rFonts w:ascii="Times New Roman" w:hAnsi="Times New Roman"/>
          <w:bCs/>
          <w:iCs/>
          <w:color w:val="000000"/>
          <w:sz w:val="24"/>
          <w:szCs w:val="24"/>
        </w:rPr>
        <w:t>6</w:t>
      </w:r>
      <w:r w:rsidR="00C736AE">
        <w:rPr>
          <w:rFonts w:ascii="Times New Roman" w:hAnsi="Times New Roman"/>
          <w:bCs/>
          <w:iCs/>
          <w:color w:val="000000"/>
          <w:sz w:val="24"/>
          <w:szCs w:val="24"/>
        </w:rPr>
        <w:t>0.05</w:t>
      </w:r>
      <w:r w:rsidR="006466E5">
        <w:rPr>
          <w:rFonts w:ascii="Times New Roman" w:hAnsi="Times New Roman"/>
          <w:bCs/>
          <w:iCs/>
          <w:color w:val="000000"/>
          <w:sz w:val="24"/>
          <w:szCs w:val="24"/>
        </w:rPr>
        <w:t>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3826AE">
        <w:rPr>
          <w:rFonts w:ascii="Times New Roman" w:hAnsi="Times New Roman"/>
          <w:sz w:val="24"/>
        </w:rPr>
        <w:t>de cent</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3826AE">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7849EF">
        <w:rPr>
          <w:rFonts w:ascii="Times New Roman" w:hAnsi="Times New Roman"/>
          <w:sz w:val="24"/>
        </w:rPr>
        <w:t>,</w:t>
      </w:r>
      <w:r w:rsidR="004B6758">
        <w:rPr>
          <w:rFonts w:ascii="Times New Roman" w:hAnsi="Times New Roman"/>
          <w:sz w:val="24"/>
        </w:rPr>
        <w:t xml:space="preserve"> </w:t>
      </w:r>
      <w:r w:rsidR="00115E3D">
        <w:rPr>
          <w:rFonts w:ascii="Times New Roman" w:hAnsi="Times New Roman"/>
          <w:sz w:val="24"/>
        </w:rPr>
        <w:t xml:space="preserve">entièrement </w:t>
      </w:r>
      <w:r w:rsidR="004B6758">
        <w:rPr>
          <w:rFonts w:ascii="Times New Roman" w:hAnsi="Times New Roman"/>
          <w:sz w:val="24"/>
        </w:rPr>
        <w:t>libérées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CA1018" w:rsidRDefault="00CA1018" w:rsidP="00DA627C"/>
    <w:p w:rsidR="00DD1A0F" w:rsidRDefault="00DD1A0F" w:rsidP="00DA627C"/>
    <w:p w:rsidR="00AF1E7F" w:rsidRPr="00260C7B" w:rsidRDefault="00AF1E7F" w:rsidP="00DA627C">
      <w:pPr>
        <w:rPr>
          <w:b/>
          <w:u w:val="single"/>
        </w:rPr>
      </w:pPr>
      <w:r w:rsidRPr="00260C7B">
        <w:rPr>
          <w:b/>
          <w:u w:val="single"/>
        </w:rPr>
        <w:lastRenderedPageBreak/>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lastRenderedPageBreak/>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6F34E5"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w:t>
      </w:r>
      <w:r w:rsidR="006F34E5">
        <w:t xml:space="preserve"> Entité visée au (i) ci-dessus ; étant précisé que :</w:t>
      </w:r>
    </w:p>
    <w:p w:rsidR="00253DAD" w:rsidRDefault="00253DAD" w:rsidP="00A14A5F">
      <w:pPr>
        <w:pStyle w:val="Paragraphedeliste"/>
        <w:numPr>
          <w:ilvl w:val="0"/>
          <w:numId w:val="23"/>
        </w:numPr>
        <w:jc w:val="both"/>
      </w:pPr>
      <w:r w:rsidRPr="00253DAD">
        <w:t>s’agissant d’UKAD, seront consi</w:t>
      </w:r>
      <w:r w:rsidR="00A14A5F">
        <w:t xml:space="preserve">dérées comme des Affiliés </w:t>
      </w:r>
      <w:r w:rsidRPr="00253DAD">
        <w:t>la société ERAMET</w:t>
      </w:r>
      <w:r w:rsidR="00FD696D">
        <w:t xml:space="preserve"> et ses filiales</w:t>
      </w:r>
      <w:r w:rsidRPr="00253DAD">
        <w:t xml:space="preserve"> ; </w:t>
      </w:r>
    </w:p>
    <w:p w:rsidR="006F34E5" w:rsidRDefault="00DE235C" w:rsidP="00781352">
      <w:pPr>
        <w:pStyle w:val="Paragraphedeliste"/>
        <w:widowControl w:val="0"/>
        <w:numPr>
          <w:ilvl w:val="0"/>
          <w:numId w:val="23"/>
        </w:numPr>
        <w:tabs>
          <w:tab w:val="num" w:pos="-226"/>
        </w:tabs>
        <w:autoSpaceDE w:val="0"/>
        <w:autoSpaceDN w:val="0"/>
        <w:jc w:val="both"/>
      </w:pPr>
      <w:r w:rsidRPr="00DE235C">
        <w:t xml:space="preserve">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w:t>
      </w:r>
      <w:r w:rsidR="004472CB">
        <w:t xml:space="preserve"> </w:t>
      </w:r>
      <w:r w:rsidRPr="00DE235C">
        <w:t xml:space="preserve">CDC Entreprises…), </w:t>
      </w:r>
      <w:proofErr w:type="spellStart"/>
      <w:r w:rsidRPr="00DE235C">
        <w:t>Bpifrance</w:t>
      </w:r>
      <w:proofErr w:type="spellEnd"/>
      <w:r w:rsidRPr="00DE235C">
        <w:t xml:space="preserve"> et ses filiales et l’Agence des Partici</w:t>
      </w:r>
      <w:r w:rsidR="006F34E5">
        <w:t>pations de l’Etat ;</w:t>
      </w:r>
      <w:r w:rsidR="00A14A5F">
        <w:t xml:space="preserve"> et</w:t>
      </w:r>
    </w:p>
    <w:p w:rsidR="006F34E5" w:rsidRDefault="004C26E5" w:rsidP="00CA1018">
      <w:pPr>
        <w:pStyle w:val="Paragraphedeliste"/>
        <w:widowControl w:val="0"/>
        <w:numPr>
          <w:ilvl w:val="0"/>
          <w:numId w:val="23"/>
        </w:numPr>
        <w:autoSpaceDE w:val="0"/>
        <w:autoSpaceDN w:val="0"/>
        <w:jc w:val="both"/>
      </w:pPr>
      <w:r>
        <w:t xml:space="preserve">s’agissant de CACF DEVELOPPEMENT, seront considérés comme des Affiliés </w:t>
      </w:r>
      <w:r w:rsidR="008D421E">
        <w:t>(</w:t>
      </w:r>
      <w:r w:rsidR="003B4AD2">
        <w:t xml:space="preserve">i) </w:t>
      </w:r>
      <w:r>
        <w:t xml:space="preserve">CREDIT AGRICOLE CENTRE </w:t>
      </w:r>
      <w:r w:rsidR="008D421E">
        <w:t>FRANCE</w:t>
      </w:r>
      <w:r>
        <w:t xml:space="preserve">, une société </w:t>
      </w:r>
      <w:r w:rsidRPr="004E621D">
        <w:t>[●]</w:t>
      </w:r>
      <w:r>
        <w:t>,</w:t>
      </w:r>
      <w:r w:rsidR="00E638D0" w:rsidRPr="00E638D0">
        <w:t xml:space="preserve"> ainsi que les </w:t>
      </w:r>
      <w:r w:rsidR="004472CB">
        <w:t>f</w:t>
      </w:r>
      <w:r w:rsidR="00E638D0" w:rsidRPr="00E638D0">
        <w:t xml:space="preserve">iliales Contrôlées par CACF ainsi que toute autre Entité incluse dans le périmètre de </w:t>
      </w:r>
      <w:r w:rsidR="00E638D0">
        <w:lastRenderedPageBreak/>
        <w:t>consolidation de CACF</w:t>
      </w:r>
      <w:r w:rsidR="008D421E" w:rsidRPr="008D421E">
        <w:rPr>
          <w:kern w:val="20"/>
          <w:szCs w:val="22"/>
          <w:lang w:eastAsia="en-US"/>
        </w:rPr>
        <w:t xml:space="preserve"> </w:t>
      </w:r>
      <w:r w:rsidR="008D421E">
        <w:rPr>
          <w:kern w:val="20"/>
          <w:szCs w:val="22"/>
          <w:lang w:eastAsia="en-US"/>
        </w:rPr>
        <w:t>selon la méthode de l’intégration globale</w:t>
      </w:r>
      <w:r w:rsidR="00CA1018">
        <w:t>,</w:t>
      </w:r>
      <w:r w:rsidR="003B4AD2">
        <w:t xml:space="preserve"> </w:t>
      </w:r>
      <w:r w:rsidR="008D421E">
        <w:t>(</w:t>
      </w:r>
      <w:r w:rsidR="003B4AD2">
        <w:t xml:space="preserve">ii) </w:t>
      </w:r>
      <w:r>
        <w:t xml:space="preserve">CASA, une société </w:t>
      </w:r>
      <w:r w:rsidRPr="004E621D">
        <w:t>[●]</w:t>
      </w:r>
      <w:r>
        <w:t>, ainsi que les filiales Contrôlées par CASA ainsi que toute autre Entité incluse dans le périmètre de consolidation de CAS</w:t>
      </w:r>
      <w:r w:rsidR="00A14A5F">
        <w:t>A</w:t>
      </w:r>
      <w:r w:rsidR="008D421E" w:rsidRPr="008D421E">
        <w:rPr>
          <w:kern w:val="20"/>
          <w:szCs w:val="22"/>
          <w:lang w:eastAsia="en-US"/>
        </w:rPr>
        <w:t xml:space="preserve"> </w:t>
      </w:r>
      <w:r w:rsidR="008D421E">
        <w:rPr>
          <w:kern w:val="20"/>
          <w:szCs w:val="22"/>
          <w:lang w:eastAsia="en-US"/>
        </w:rPr>
        <w:t>selon la méthode de l’intégration globale</w:t>
      </w:r>
      <w:r w:rsidR="00CA1018">
        <w:rPr>
          <w:kern w:val="20"/>
          <w:szCs w:val="22"/>
          <w:lang w:eastAsia="en-US"/>
        </w:rPr>
        <w:t xml:space="preserve">, et </w:t>
      </w:r>
      <w:r w:rsidR="00CA1018" w:rsidRPr="00CA1018">
        <w:rPr>
          <w:kern w:val="20"/>
          <w:szCs w:val="22"/>
          <w:lang w:eastAsia="en-US"/>
        </w:rPr>
        <w:t>(iii) chacune des Caisses Régionales de Crédit Agricole et des Filiales que ces caisses consolident selon la méthode de l’intégration globale</w:t>
      </w:r>
      <w:r w:rsidR="00CA1018">
        <w:rPr>
          <w:kern w:val="20"/>
          <w:szCs w:val="22"/>
          <w:lang w:eastAsia="en-US"/>
        </w:rPr>
        <w:t>.</w:t>
      </w:r>
    </w:p>
    <w:p w:rsidR="00A14A5F" w:rsidRDefault="00A14A5F" w:rsidP="00A14A5F">
      <w:pPr>
        <w:pStyle w:val="Paragraphedeliste"/>
        <w:widowControl w:val="0"/>
        <w:tabs>
          <w:tab w:val="num" w:pos="426"/>
        </w:tabs>
        <w:autoSpaceDE w:val="0"/>
        <w:autoSpaceDN w:val="0"/>
        <w:jc w:val="both"/>
      </w:pPr>
    </w:p>
    <w:p w:rsidR="00A975D4" w:rsidRPr="00A975D4" w:rsidRDefault="00E44467" w:rsidP="00A975D4">
      <w:pPr>
        <w:widowControl w:val="0"/>
        <w:tabs>
          <w:tab w:val="num" w:pos="426"/>
        </w:tabs>
        <w:autoSpaceDE w:val="0"/>
        <w:autoSpaceDN w:val="0"/>
        <w:jc w:val="both"/>
      </w:pPr>
      <w:r>
        <w:t>En ce sens, le terme « </w:t>
      </w:r>
      <w:r w:rsidRPr="008570E8">
        <w:rPr>
          <w:b/>
        </w:rPr>
        <w:t>Contrôle</w:t>
      </w:r>
      <w:r>
        <w:t> » aura le sens qui lui est donné à l’article L. 233-3 (I) du Code de commerce.</w:t>
      </w:r>
    </w:p>
    <w:p w:rsidR="000C78D9" w:rsidRDefault="000C78D9" w:rsidP="00492198">
      <w:pPr>
        <w:widowControl w:val="0"/>
        <w:tabs>
          <w:tab w:val="num" w:pos="426"/>
        </w:tabs>
        <w:autoSpaceDE w:val="0"/>
        <w:autoSpaceDN w:val="0"/>
        <w:jc w:val="both"/>
      </w:pPr>
    </w:p>
    <w:p w:rsidR="004C26E5"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w:t>
      </w:r>
      <w:r w:rsidR="004C26E5">
        <w:t> :</w:t>
      </w:r>
    </w:p>
    <w:p w:rsidR="004C26E5" w:rsidRDefault="00DE235C" w:rsidP="004C26E5">
      <w:pPr>
        <w:pStyle w:val="Paragraphedeliste"/>
        <w:widowControl w:val="0"/>
        <w:numPr>
          <w:ilvl w:val="0"/>
          <w:numId w:val="24"/>
        </w:numPr>
        <w:tabs>
          <w:tab w:val="num" w:pos="426"/>
        </w:tabs>
        <w:autoSpaceDE w:val="0"/>
        <w:autoSpaceDN w:val="0"/>
        <w:jc w:val="both"/>
      </w:pPr>
      <w:r w:rsidRPr="00DE235C">
        <w:t>tout Trans</w:t>
      </w:r>
      <w:r w:rsidR="004C26E5">
        <w:t>fert de Titres entre Associés ;</w:t>
      </w:r>
    </w:p>
    <w:p w:rsidR="000C78D9" w:rsidRDefault="00DE235C" w:rsidP="004C26E5">
      <w:pPr>
        <w:pStyle w:val="Paragraphedeliste"/>
        <w:widowControl w:val="0"/>
        <w:numPr>
          <w:ilvl w:val="0"/>
          <w:numId w:val="24"/>
        </w:numPr>
        <w:tabs>
          <w:tab w:val="num" w:pos="426"/>
        </w:tabs>
        <w:autoSpaceDE w:val="0"/>
        <w:autoSpaceDN w:val="0"/>
        <w:jc w:val="both"/>
      </w:pPr>
      <w:r w:rsidRPr="00DE235C">
        <w:t>tout Transfert de Titres entre (x) un Associé et (y) toute Entité</w:t>
      </w:r>
      <w:r w:rsidR="004C26E5">
        <w:t xml:space="preserve"> étant un Affilié dudit Associé ;</w:t>
      </w:r>
      <w:r w:rsidR="000C63FB">
        <w:t xml:space="preserve"> et</w:t>
      </w:r>
    </w:p>
    <w:p w:rsidR="004C26E5" w:rsidRDefault="00743022" w:rsidP="00743022">
      <w:pPr>
        <w:pStyle w:val="Paragraphedeliste"/>
        <w:widowControl w:val="0"/>
        <w:numPr>
          <w:ilvl w:val="0"/>
          <w:numId w:val="24"/>
        </w:numPr>
        <w:tabs>
          <w:tab w:val="num" w:pos="426"/>
        </w:tabs>
        <w:autoSpaceDE w:val="0"/>
        <w:autoSpaceDN w:val="0"/>
        <w:jc w:val="both"/>
      </w:pPr>
      <w:r>
        <w:t>tout Transfert de Titres réalisé par CACF DEVELOPPEMENT ou l’ADEME postérieurement à la survenance d’un</w:t>
      </w:r>
      <w:r w:rsidR="004C26E5">
        <w:t xml:space="preserve"> « </w:t>
      </w:r>
      <w:r w:rsidR="004C26E5" w:rsidRPr="00743022">
        <w:rPr>
          <w:b/>
        </w:rPr>
        <w:t>Défaut d’Achat</w:t>
      </w:r>
      <w:r w:rsidR="004C26E5">
        <w:t xml:space="preserve"> »</w:t>
      </w:r>
      <w:r>
        <w:t xml:space="preserve">, tels que ces termes sont définis dans le pacte d’actionnaires </w:t>
      </w:r>
      <w:r w:rsidR="009443E9">
        <w:t xml:space="preserve">relatif à la Société </w:t>
      </w:r>
      <w:r>
        <w:t>conclu entre les Associés, suivant</w:t>
      </w:r>
      <w:r w:rsidR="004C26E5">
        <w:t xml:space="preserve"> </w:t>
      </w:r>
      <w:r>
        <w:t>les modalités stipulées dans ledit pacte d’actionnaires.</w:t>
      </w:r>
      <w:r w:rsidR="004C26E5">
        <w:t xml:space="preserve"> </w:t>
      </w:r>
    </w:p>
    <w:p w:rsidR="004C26E5" w:rsidRDefault="004C26E5"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w:t>
      </w:r>
      <w:r w:rsidR="00743022">
        <w:t>,</w:t>
      </w:r>
      <w:r>
        <w:t> </w:t>
      </w:r>
      <w:r w:rsidR="00743022" w:rsidRPr="006B3D39">
        <w:t>en ce compris notamment les droits</w:t>
      </w:r>
      <w:r w:rsidR="00743022">
        <w:t xml:space="preserve"> préférentiels de souscription ou droits d’attribution</w:t>
      </w:r>
      <w:r w:rsidR="00743022" w:rsidRPr="006B3D39">
        <w:t xml:space="preserve"> ou valeurs </w:t>
      </w:r>
      <w:r w:rsidR="00743022">
        <w:t xml:space="preserve">mobilières </w:t>
      </w:r>
      <w:r w:rsidR="00743022" w:rsidRPr="006B3D39">
        <w:t>donnant droit à l'attribution de tit</w:t>
      </w:r>
      <w:r w:rsidR="00743022">
        <w:t xml:space="preserve">res de créances sur la Société </w:t>
      </w:r>
      <w:r>
        <w:t>;</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xml:space="preserve">),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w:t>
      </w:r>
      <w:r w:rsidRPr="00DE235C">
        <w:lastRenderedPageBreak/>
        <w:t>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w:t>
      </w:r>
      <w:r w:rsidR="00743022">
        <w:rPr>
          <w:b/>
        </w:rPr>
        <w:t>2</w:t>
      </w:r>
      <w:r w:rsidR="00C41043">
        <w:rPr>
          <w:b/>
        </w:rPr>
        <w:t xml:space="preserve">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14" w:name="JVHIT_36"/>
      <w:bookmarkEnd w:id="14"/>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Default="00C41043" w:rsidP="00C41043">
      <w:pPr>
        <w:jc w:val="both"/>
      </w:pPr>
    </w:p>
    <w:p w:rsidR="00C41043" w:rsidRPr="00D12B3C" w:rsidRDefault="00C41043" w:rsidP="00C41043">
      <w:pPr>
        <w:jc w:val="both"/>
      </w:pPr>
      <w:r w:rsidRPr="00D12B3C">
        <w:lastRenderedPageBreak/>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15" w:name="JVHIT_37"/>
      <w:bookmarkEnd w:id="15"/>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16" w:name="R32C2FB959F43D2-EFL"/>
      <w:bookmarkEnd w:id="16"/>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E96D1A" w:rsidP="002E7C9B">
      <w:pPr>
        <w:widowControl w:val="0"/>
        <w:tabs>
          <w:tab w:val="num" w:pos="426"/>
        </w:tabs>
        <w:autoSpaceDE w:val="0"/>
        <w:autoSpaceDN w:val="0"/>
        <w:jc w:val="both"/>
        <w:rPr>
          <w:b/>
        </w:rPr>
      </w:pPr>
      <w:r>
        <w:rPr>
          <w:b/>
        </w:rPr>
        <w:t>13.3</w:t>
      </w:r>
      <w:r w:rsidR="002E7C9B">
        <w:rPr>
          <w:b/>
        </w:rPr>
        <w:t xml:space="preserve"> </w:t>
      </w:r>
      <w:r w:rsidR="002E7C9B" w:rsidRPr="00DD3175">
        <w:rPr>
          <w:b/>
        </w:rPr>
        <w:t xml:space="preserve"> </w:t>
      </w:r>
      <w:r w:rsidR="00B241B1">
        <w:rPr>
          <w:b/>
        </w:rPr>
        <w:t>Cession Libre</w:t>
      </w:r>
      <w:r w:rsidR="002E7C9B"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p>
    <w:p w:rsidR="002E7C9B"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w:t>
      </w:r>
      <w:r w:rsidR="00743022">
        <w:t>du</w:t>
      </w:r>
      <w:r w:rsidR="005F2C0C">
        <w:t xml:space="preserve"> cessionnaire ; et</w:t>
      </w:r>
    </w:p>
    <w:p w:rsidR="005F2C0C" w:rsidRPr="00D12B3C" w:rsidRDefault="005F2C0C" w:rsidP="00BF61F4">
      <w:pPr>
        <w:pStyle w:val="Paragraphedeliste"/>
        <w:numPr>
          <w:ilvl w:val="0"/>
          <w:numId w:val="7"/>
        </w:numPr>
        <w:spacing w:line="276" w:lineRule="auto"/>
        <w:jc w:val="both"/>
      </w:pPr>
      <w:r>
        <w:lastRenderedPageBreak/>
        <w:t>tout élément justifiant que le Transfert envisagé constitue effectivement une Cession Libre.</w:t>
      </w:r>
    </w:p>
    <w:p w:rsidR="000350AD" w:rsidRDefault="000350AD" w:rsidP="00095905">
      <w:pPr>
        <w:spacing w:line="276" w:lineRule="auto"/>
        <w:ind w:left="360"/>
        <w:jc w:val="both"/>
      </w:pPr>
    </w:p>
    <w:p w:rsidR="00077176" w:rsidRDefault="00405355" w:rsidP="00077176">
      <w:pPr>
        <w:jc w:val="both"/>
      </w:pPr>
      <w:r w:rsidRPr="00405355">
        <w:t>S’agissant</w:t>
      </w:r>
      <w:r w:rsidR="005F2C0C">
        <w:t xml:space="preserve"> en particulier</w:t>
      </w:r>
      <w:r w:rsidRPr="00405355">
        <w:t xml:space="preserve"> d’un Transfert à un Affilié, la notification devra être accompagnée de toutes pièces justificatives établissant la qualité d’Affilié du cessionnaire</w:t>
      </w:r>
      <w:r w:rsidR="00077176">
        <w:t xml:space="preserve"> et des engagements et attestations éventuellement prévus dans tout accord extrastatutaire en vigueur entre les Associés</w:t>
      </w:r>
      <w:r w:rsidRPr="00405355">
        <w:t xml:space="preserve">. </w:t>
      </w:r>
    </w:p>
    <w:p w:rsidR="00077176" w:rsidRDefault="00077176" w:rsidP="00405355">
      <w:pPr>
        <w:jc w:val="both"/>
      </w:pPr>
    </w:p>
    <w:p w:rsidR="00405355" w:rsidRPr="00405355" w:rsidRDefault="00405355" w:rsidP="00405355">
      <w:pPr>
        <w:jc w:val="both"/>
      </w:pPr>
      <w:r w:rsidRPr="00405355">
        <w:t>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p>
    <w:p w:rsidR="00A975D4" w:rsidRDefault="00A975D4" w:rsidP="00B01DA9">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AF50D3" w:rsidRDefault="00AF50D3"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7" w:name="I4E3FCFF95F332D50"/>
      <w:bookmarkEnd w:id="17"/>
    </w:p>
    <w:p w:rsidR="00337814" w:rsidRPr="00260C7B" w:rsidRDefault="00337814" w:rsidP="00DA627C"/>
    <w:p w:rsidR="00337814" w:rsidRPr="00260C7B" w:rsidRDefault="007F772C" w:rsidP="00DA627C">
      <w:pPr>
        <w:pStyle w:val="Titre6"/>
        <w:rPr>
          <w:sz w:val="24"/>
          <w:szCs w:val="24"/>
        </w:rPr>
      </w:pPr>
      <w:bookmarkStart w:id="18" w:name="I4E3FCFF95F332D6D"/>
      <w:bookmarkStart w:id="19" w:name="I4E3FCFF95F332D6F"/>
      <w:bookmarkEnd w:id="18"/>
      <w:bookmarkEnd w:id="19"/>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C96413" w:rsidRDefault="00C96413" w:rsidP="00DA627C">
      <w:pPr>
        <w:widowControl w:val="0"/>
        <w:ind w:right="23"/>
        <w:jc w:val="both"/>
        <w:rPr>
          <w:rStyle w:val="txt"/>
          <w:color w:val="000000"/>
        </w:rPr>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AF50D3" w:rsidRDefault="00AF50D3" w:rsidP="00DA627C">
      <w:pPr>
        <w:widowControl w:val="0"/>
        <w:ind w:right="23"/>
        <w:jc w:val="both"/>
        <w:rPr>
          <w:rStyle w:val="txt"/>
          <w:color w:val="000000"/>
        </w:rPr>
      </w:pP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lastRenderedPageBreak/>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0C63FB">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rsidR="00DD4944">
        <w:t xml:space="preserve"> </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 xml:space="preserve">inférieur à </w:t>
      </w:r>
      <w:r w:rsidR="00494DE5">
        <w:rPr>
          <w:rFonts w:ascii="Times New Roman" w:hAnsi="Times New Roman"/>
          <w:sz w:val="24"/>
          <w:szCs w:val="24"/>
          <w:lang w:val="fr-FR"/>
        </w:rPr>
        <w:t>2</w:t>
      </w:r>
      <w:r w:rsidR="00B7514F">
        <w:rPr>
          <w:rFonts w:ascii="Times New Roman" w:hAnsi="Times New Roman"/>
          <w:sz w:val="24"/>
          <w:szCs w:val="24"/>
          <w:lang w:val="fr-FR"/>
        </w:rPr>
        <w:t>.000.000 €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5C56FA">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lastRenderedPageBreak/>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xml:space="preserve">, </w:t>
      </w:r>
      <w:r w:rsidR="005F2C0C">
        <w:rPr>
          <w:rFonts w:ascii="Times New Roman" w:hAnsi="Times New Roman"/>
          <w:sz w:val="24"/>
          <w:szCs w:val="24"/>
          <w:lang w:val="fr-FR"/>
        </w:rPr>
        <w:t>d’un montant unitaire supérieur à 1.000.000 €</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w:t>
      </w:r>
      <w:r w:rsidR="005C56FA">
        <w:rPr>
          <w:rFonts w:ascii="Times New Roman" w:hAnsi="Times New Roman"/>
          <w:sz w:val="24"/>
          <w:szCs w:val="24"/>
          <w:lang w:val="fr-FR"/>
        </w:rPr>
        <w:t>il</w:t>
      </w:r>
      <w:r w:rsidR="005C56FA" w:rsidRPr="005C56FA">
        <w:rPr>
          <w:rFonts w:ascii="Times New Roman" w:hAnsi="Times New Roman"/>
          <w:sz w:val="24"/>
          <w:szCs w:val="24"/>
          <w:lang w:val="fr-FR"/>
        </w:rPr>
        <w:t xml:space="preserve"> ne résulte d’opérations spécifiquement prévues dans un budget prévisionnel dûment approuvé par le Comité de Surveillance</w:t>
      </w:r>
      <w:r w:rsidR="005C56FA">
        <w:rPr>
          <w:rFonts w:ascii="Times New Roman" w:hAnsi="Times New Roman"/>
          <w:sz w:val="24"/>
          <w:szCs w:val="24"/>
          <w:lang w:val="fr-FR"/>
        </w:rPr>
        <w:t> ;</w:t>
      </w:r>
    </w:p>
    <w:p w:rsidR="00040436" w:rsidRDefault="00815ABA"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w:t>
      </w:r>
      <w:r w:rsidR="005C56FA">
        <w:rPr>
          <w:rFonts w:ascii="Times New Roman" w:hAnsi="Times New Roman"/>
          <w:sz w:val="24"/>
          <w:szCs w:val="24"/>
          <w:lang w:val="fr-FR"/>
        </w:rPr>
        <w:t> ;</w:t>
      </w:r>
      <w:r w:rsidR="000C63FB">
        <w:rPr>
          <w:rFonts w:ascii="Times New Roman" w:hAnsi="Times New Roman"/>
          <w:sz w:val="24"/>
          <w:szCs w:val="24"/>
          <w:lang w:val="fr-FR"/>
        </w:rPr>
        <w:t xml:space="preserve"> </w:t>
      </w:r>
      <w:r w:rsidR="00040436">
        <w:rPr>
          <w:rFonts w:ascii="Times New Roman" w:hAnsi="Times New Roman"/>
          <w:sz w:val="24"/>
          <w:szCs w:val="24"/>
          <w:lang w:val="fr-FR"/>
        </w:rPr>
        <w:t>et</w:t>
      </w:r>
    </w:p>
    <w:p w:rsidR="002C6EED" w:rsidRPr="002D1C16" w:rsidRDefault="002C6EED" w:rsidP="00AA7AB8">
      <w:pPr>
        <w:pStyle w:val="alpha3"/>
        <w:spacing w:line="240" w:lineRule="auto"/>
        <w:ind w:left="680"/>
        <w:rPr>
          <w:rFonts w:ascii="Times New Roman" w:hAnsi="Times New Roman"/>
          <w:sz w:val="24"/>
          <w:szCs w:val="24"/>
          <w:lang w:val="fr-FR"/>
        </w:rPr>
      </w:pPr>
      <w:r w:rsidRPr="002D1C16">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D1C16">
        <w:rPr>
          <w:rFonts w:ascii="Times New Roman" w:hAnsi="Times New Roman"/>
          <w:sz w:val="24"/>
          <w:szCs w:val="24"/>
          <w:lang w:val="fr-FR"/>
        </w:rPr>
        <w:t>(</w:t>
      </w:r>
      <w:proofErr w:type="gramStart"/>
      <w:r w:rsidR="00815ABA" w:rsidRPr="002D1C16">
        <w:rPr>
          <w:rFonts w:ascii="Times New Roman" w:hAnsi="Times New Roman"/>
          <w:sz w:val="24"/>
          <w:szCs w:val="24"/>
          <w:lang w:val="fr-FR"/>
        </w:rPr>
        <w:t>ensemble</w:t>
      </w:r>
      <w:proofErr w:type="gramEnd"/>
      <w:r w:rsidR="00815ABA" w:rsidRPr="002D1C16">
        <w:rPr>
          <w:rFonts w:ascii="Times New Roman" w:hAnsi="Times New Roman"/>
          <w:sz w:val="24"/>
          <w:szCs w:val="24"/>
          <w:lang w:val="fr-FR"/>
        </w:rPr>
        <w:t xml:space="preserve">, </w:t>
      </w:r>
      <w:r w:rsidRPr="002D1C16">
        <w:rPr>
          <w:rFonts w:ascii="Times New Roman" w:hAnsi="Times New Roman"/>
          <w:sz w:val="24"/>
          <w:szCs w:val="24"/>
          <w:lang w:val="fr-FR"/>
        </w:rPr>
        <w:t>les « </w:t>
      </w:r>
      <w:r w:rsidRPr="002D1C16">
        <w:rPr>
          <w:rFonts w:ascii="Times New Roman" w:hAnsi="Times New Roman"/>
          <w:b/>
          <w:sz w:val="24"/>
          <w:szCs w:val="24"/>
          <w:lang w:val="fr-FR"/>
        </w:rPr>
        <w:t>Déci</w:t>
      </w:r>
      <w:r w:rsidRPr="002C6EED">
        <w:rPr>
          <w:rFonts w:ascii="Times New Roman" w:hAnsi="Times New Roman"/>
          <w:b/>
          <w:sz w:val="24"/>
          <w:szCs w:val="24"/>
          <w:lang w:val="fr-FR"/>
        </w:rPr>
        <w:t xml:space="preserve">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D4944" w:rsidRDefault="00DD4944" w:rsidP="008955DA">
      <w:pPr>
        <w:tabs>
          <w:tab w:val="left" w:pos="993"/>
          <w:tab w:val="left" w:pos="1418"/>
          <w:tab w:val="left" w:pos="1843"/>
        </w:tabs>
        <w:jc w:val="both"/>
      </w:pPr>
    </w:p>
    <w:p w:rsidR="008955DA" w:rsidRDefault="008955DA" w:rsidP="008955DA">
      <w:pPr>
        <w:tabs>
          <w:tab w:val="left" w:pos="993"/>
          <w:tab w:val="left" w:pos="1418"/>
          <w:tab w:val="left" w:pos="1843"/>
        </w:tabs>
        <w:jc w:val="both"/>
      </w:pPr>
      <w:r>
        <w:t>Toutefois, les décisions visées ci-dessous, relatives à la Société ou à ses filiales éventuelles</w:t>
      </w:r>
      <w:r w:rsidR="000C63FB">
        <w:t xml:space="preserve">, </w:t>
      </w:r>
      <w:r>
        <w:t xml:space="preserve"> 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781352">
      <w:pPr>
        <w:pStyle w:val="alpha3"/>
        <w:tabs>
          <w:tab w:val="clear" w:pos="2041"/>
          <w:tab w:val="num" w:pos="-567"/>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D63C81" w:rsidRDefault="00FC463D" w:rsidP="007E3627">
      <w:pPr>
        <w:pStyle w:val="alpha3"/>
        <w:tabs>
          <w:tab w:val="clear" w:pos="2041"/>
          <w:tab w:val="num" w:pos="-1219"/>
        </w:tabs>
        <w:spacing w:line="240" w:lineRule="auto"/>
        <w:ind w:left="680"/>
        <w:rPr>
          <w:rFonts w:ascii="Times New Roman" w:hAnsi="Times New Roman"/>
          <w:sz w:val="24"/>
          <w:szCs w:val="24"/>
          <w:lang w:val="fr-FR"/>
        </w:rPr>
      </w:pPr>
      <w:r w:rsidRPr="00D63C81">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sidRPr="00D63C81">
        <w:rPr>
          <w:rFonts w:ascii="Times New Roman" w:hAnsi="Times New Roman"/>
          <w:sz w:val="24"/>
          <w:szCs w:val="24"/>
          <w:lang w:val="fr-FR"/>
        </w:rPr>
        <w:t>ou de fond</w:t>
      </w:r>
      <w:r w:rsidR="00A92A65" w:rsidRPr="00D63C81">
        <w:rPr>
          <w:rFonts w:ascii="Times New Roman" w:hAnsi="Times New Roman"/>
          <w:sz w:val="24"/>
          <w:szCs w:val="24"/>
          <w:lang w:val="fr-FR"/>
        </w:rPr>
        <w:t>s</w:t>
      </w:r>
      <w:r w:rsidR="00B7514F" w:rsidRPr="00D63C81">
        <w:rPr>
          <w:rFonts w:ascii="Times New Roman" w:hAnsi="Times New Roman"/>
          <w:sz w:val="24"/>
          <w:szCs w:val="24"/>
          <w:lang w:val="fr-FR"/>
        </w:rPr>
        <w:t xml:space="preserve"> de commerce </w:t>
      </w:r>
      <w:r w:rsidR="007E3627" w:rsidRPr="00D63C81">
        <w:rPr>
          <w:rFonts w:ascii="Times New Roman" w:hAnsi="Times New Roman"/>
          <w:sz w:val="24"/>
          <w:szCs w:val="24"/>
          <w:lang w:val="fr-FR"/>
        </w:rPr>
        <w:t>et plus généralement, toute opération engageant la Société dans une prise de participation, sous quelque forme que ce soit, dans toute autre entreprise avec ou sans personnalité morale, ou dans toute entreprise entraînant une responsabilité indéfinie des associés</w:t>
      </w:r>
      <w:r w:rsidR="00D63C81" w:rsidRPr="00D63C81">
        <w:rPr>
          <w:rFonts w:ascii="Times New Roman" w:hAnsi="Times New Roman"/>
          <w:sz w:val="24"/>
          <w:szCs w:val="24"/>
          <w:lang w:val="fr-FR"/>
        </w:rPr>
        <w:t>,</w:t>
      </w:r>
      <w:r w:rsidR="00D63C81">
        <w:rPr>
          <w:rFonts w:ascii="Times New Roman" w:hAnsi="Times New Roman"/>
          <w:sz w:val="24"/>
          <w:szCs w:val="24"/>
          <w:lang w:val="fr-FR"/>
        </w:rPr>
        <w:t xml:space="preserve"> </w:t>
      </w:r>
      <w:r w:rsidR="00D63C81" w:rsidRPr="00D63C81">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D63C81" w:rsidRPr="00D63C81">
        <w:rPr>
          <w:rFonts w:ascii="Times New Roman" w:hAnsi="Times New Roman"/>
          <w:sz w:val="24"/>
          <w:szCs w:val="24"/>
          <w:lang w:val="fr-FR"/>
        </w:rPr>
        <w:t>;</w:t>
      </w:r>
    </w:p>
    <w:p w:rsidR="008955DA" w:rsidRPr="00FC463D"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w:t>
      </w:r>
      <w:r w:rsidR="009443E9">
        <w:rPr>
          <w:rFonts w:ascii="Times New Roman" w:hAnsi="Times New Roman"/>
          <w:sz w:val="24"/>
          <w:szCs w:val="24"/>
          <w:lang w:val="fr-FR"/>
        </w:rPr>
        <w:t>ant sur un montant supérieur à 2</w:t>
      </w:r>
      <w:r w:rsidRPr="00FC463D">
        <w:rPr>
          <w:rFonts w:ascii="Times New Roman" w:hAnsi="Times New Roman"/>
          <w:sz w:val="24"/>
          <w:szCs w:val="24"/>
          <w:lang w:val="fr-FR"/>
        </w:rPr>
        <w:t>.000.000€</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007A529C">
        <w:rPr>
          <w:rFonts w:ascii="Times New Roman" w:hAnsi="Times New Roman"/>
          <w:sz w:val="24"/>
          <w:szCs w:val="24"/>
          <w:lang w:val="fr-FR"/>
        </w:rPr>
        <w:t xml:space="preserve"> </w:t>
      </w:r>
      <w:r w:rsidR="005C56FA">
        <w:rPr>
          <w:rFonts w:ascii="Times New Roman" w:hAnsi="Times New Roman"/>
          <w:sz w:val="24"/>
          <w:szCs w:val="24"/>
          <w:lang w:val="fr-FR"/>
        </w:rPr>
        <w:t>;</w:t>
      </w:r>
    </w:p>
    <w:p w:rsidR="00781352"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 engagement hors bilan, octroi de sûretés, cautionnement, aval ou garantie portant sur un montant indéterminé ou </w:t>
      </w:r>
      <w:r w:rsidR="009443E9">
        <w:rPr>
          <w:rFonts w:ascii="Times New Roman" w:hAnsi="Times New Roman"/>
          <w:sz w:val="24"/>
          <w:szCs w:val="24"/>
          <w:lang w:val="fr-FR"/>
        </w:rPr>
        <w:t xml:space="preserve">un montant unitaire </w:t>
      </w:r>
      <w:r w:rsidRPr="00FC463D">
        <w:rPr>
          <w:rFonts w:ascii="Times New Roman" w:hAnsi="Times New Roman"/>
          <w:sz w:val="24"/>
          <w:szCs w:val="24"/>
          <w:lang w:val="fr-FR"/>
        </w:rPr>
        <w:t xml:space="preserve">supérieur à </w:t>
      </w:r>
      <w:r w:rsidR="009443E9">
        <w:rPr>
          <w:rFonts w:ascii="Times New Roman" w:hAnsi="Times New Roman"/>
          <w:sz w:val="24"/>
          <w:szCs w:val="24"/>
          <w:lang w:val="fr-FR"/>
        </w:rPr>
        <w:t>2</w:t>
      </w:r>
      <w:r w:rsidRPr="00FC463D">
        <w:rPr>
          <w:rFonts w:ascii="Times New Roman" w:hAnsi="Times New Roman"/>
          <w:sz w:val="24"/>
          <w:szCs w:val="24"/>
          <w:lang w:val="fr-FR"/>
        </w:rPr>
        <w:t>.000.000€</w:t>
      </w:r>
      <w:r w:rsidR="005C56FA">
        <w:rPr>
          <w:rFonts w:ascii="Times New Roman" w:hAnsi="Times New Roman"/>
          <w:sz w:val="24"/>
          <w:szCs w:val="24"/>
          <w:lang w:val="fr-FR"/>
        </w:rPr>
        <w:t>, à moins qu’il ne résulte</w:t>
      </w:r>
      <w:r w:rsidR="005C56FA" w:rsidRPr="005C56FA">
        <w:rPr>
          <w:rFonts w:ascii="Times New Roman" w:hAnsi="Times New Roman"/>
          <w:sz w:val="24"/>
          <w:szCs w:val="24"/>
          <w:lang w:val="fr-FR"/>
        </w:rPr>
        <w:t xml:space="preserve"> d’opérations spécifiquement prévues dans un budget prévisionnel dûment approuvé par le Comité de Surveillance</w:t>
      </w:r>
      <w:r w:rsidR="007A529C">
        <w:rPr>
          <w:rFonts w:ascii="Times New Roman" w:hAnsi="Times New Roman"/>
          <w:sz w:val="24"/>
          <w:szCs w:val="24"/>
          <w:lang w:val="fr-FR"/>
        </w:rPr>
        <w:t xml:space="preserve"> </w:t>
      </w:r>
      <w:r w:rsidRPr="00FC463D">
        <w:rPr>
          <w:rFonts w:ascii="Times New Roman" w:hAnsi="Times New Roman"/>
          <w:sz w:val="24"/>
          <w:szCs w:val="24"/>
          <w:lang w:val="fr-FR"/>
        </w:rPr>
        <w:t>;</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le commencement, la modification significative ou la cession de toute activité ;</w:t>
      </w:r>
    </w:p>
    <w:p w:rsidR="00781352" w:rsidRPr="007E3627" w:rsidRDefault="00781352" w:rsidP="00781352">
      <w:pPr>
        <w:pStyle w:val="alpha3"/>
        <w:spacing w:line="240" w:lineRule="auto"/>
        <w:ind w:left="680"/>
        <w:rPr>
          <w:rFonts w:ascii="Times New Roman" w:hAnsi="Times New Roman"/>
          <w:sz w:val="24"/>
          <w:szCs w:val="24"/>
          <w:lang w:val="fr-FR"/>
        </w:rPr>
      </w:pPr>
      <w:r w:rsidRPr="007E3627">
        <w:rPr>
          <w:rFonts w:ascii="Times New Roman" w:hAnsi="Times New Roman"/>
          <w:sz w:val="24"/>
          <w:szCs w:val="24"/>
          <w:lang w:val="fr-FR"/>
        </w:rPr>
        <w:t>la création de filiales ou d’établissements de la Société</w:t>
      </w:r>
      <w:r w:rsidR="005C56FA" w:rsidRPr="007E3627">
        <w:rPr>
          <w:rFonts w:ascii="Times New Roman" w:hAnsi="Times New Roman"/>
          <w:sz w:val="24"/>
          <w:szCs w:val="24"/>
          <w:lang w:val="fr-FR"/>
        </w:rPr>
        <w:t xml:space="preserve">, </w:t>
      </w:r>
      <w:r w:rsidR="00424E88">
        <w:rPr>
          <w:rFonts w:ascii="Times New Roman" w:hAnsi="Times New Roman"/>
          <w:sz w:val="24"/>
          <w:szCs w:val="24"/>
          <w:lang w:val="fr-FR"/>
        </w:rPr>
        <w:t xml:space="preserve">et/ou la prise de participation, </w:t>
      </w:r>
      <w:r w:rsidR="007E3627" w:rsidRPr="007E3627">
        <w:rPr>
          <w:rFonts w:ascii="Times New Roman" w:hAnsi="Times New Roman"/>
          <w:sz w:val="24"/>
          <w:szCs w:val="24"/>
          <w:lang w:val="fr-FR"/>
        </w:rPr>
        <w:t>sous quelque forme que ce soit</w:t>
      </w:r>
      <w:r w:rsidR="007E3627">
        <w:rPr>
          <w:rFonts w:ascii="Times New Roman" w:hAnsi="Times New Roman"/>
          <w:sz w:val="24"/>
          <w:szCs w:val="24"/>
          <w:lang w:val="fr-FR"/>
        </w:rPr>
        <w:t>,</w:t>
      </w:r>
      <w:r w:rsidR="007E3627" w:rsidRPr="007E3627">
        <w:rPr>
          <w:rFonts w:ascii="Times New Roman" w:hAnsi="Times New Roman"/>
          <w:sz w:val="24"/>
          <w:szCs w:val="24"/>
          <w:lang w:val="fr-FR"/>
        </w:rPr>
        <w:t xml:space="preserve"> dans toute autre entreprise avec ou sans personnalité morale, ou dans toute entreprise entraînant une responsabilité indéfinie des associés, </w:t>
      </w:r>
      <w:r w:rsidR="005C56FA" w:rsidRPr="007E3627">
        <w:rPr>
          <w:rFonts w:ascii="Times New Roman" w:hAnsi="Times New Roman"/>
          <w:sz w:val="24"/>
          <w:szCs w:val="24"/>
          <w:lang w:val="fr-FR"/>
        </w:rPr>
        <w:t>à moins qu’elles ne résultent d’opérations spécifiquement prévues dans un budget prévisionnel dûment approuvé par le Comité de Surveillance</w:t>
      </w:r>
      <w:r w:rsidRPr="007E3627">
        <w:rPr>
          <w:rFonts w:ascii="Times New Roman" w:hAnsi="Times New Roman"/>
          <w:sz w:val="24"/>
          <w:szCs w:val="24"/>
          <w:lang w:val="fr-FR"/>
        </w:rPr>
        <w:t xml:space="preserve">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ou cession d’actifs corporels ou incorporels d’un montant</w:t>
      </w:r>
      <w:r w:rsidR="009443E9">
        <w:rPr>
          <w:rFonts w:ascii="Times New Roman" w:hAnsi="Times New Roman"/>
          <w:sz w:val="24"/>
          <w:szCs w:val="24"/>
          <w:lang w:val="fr-FR"/>
        </w:rPr>
        <w:t xml:space="preserve"> unitaire </w:t>
      </w:r>
      <w:r w:rsidRPr="00781352">
        <w:rPr>
          <w:rFonts w:ascii="Times New Roman" w:hAnsi="Times New Roman"/>
          <w:sz w:val="24"/>
          <w:szCs w:val="24"/>
          <w:lang w:val="fr-FR"/>
        </w:rPr>
        <w:t xml:space="preserve">supérieur à </w:t>
      </w:r>
      <w:r w:rsidR="009443E9">
        <w:rPr>
          <w:rFonts w:ascii="Times New Roman" w:hAnsi="Times New Roman"/>
          <w:sz w:val="24"/>
          <w:szCs w:val="24"/>
          <w:lang w:val="fr-FR"/>
        </w:rPr>
        <w:t>2</w:t>
      </w:r>
      <w:r w:rsidR="009443E9" w:rsidRPr="00FC463D">
        <w:rPr>
          <w:rFonts w:ascii="Times New Roman" w:hAnsi="Times New Roman"/>
          <w:sz w:val="24"/>
          <w:szCs w:val="24"/>
          <w:lang w:val="fr-FR"/>
        </w:rPr>
        <w:t>.000.000</w:t>
      </w:r>
      <w:r w:rsidRPr="00781352">
        <w:rPr>
          <w:rFonts w:ascii="Times New Roman" w:hAnsi="Times New Roman"/>
          <w:sz w:val="24"/>
          <w:szCs w:val="24"/>
          <w:lang w:val="fr-FR"/>
        </w:rPr>
        <w:t>€</w:t>
      </w:r>
      <w:r w:rsidR="005C56FA">
        <w:rPr>
          <w:rFonts w:ascii="Times New Roman" w:hAnsi="Times New Roman"/>
          <w:sz w:val="24"/>
          <w:szCs w:val="24"/>
          <w:lang w:val="fr-FR"/>
        </w:rPr>
        <w:t xml:space="preserve">, </w:t>
      </w:r>
      <w:r w:rsidR="005C56FA" w:rsidRPr="005C56FA">
        <w:rPr>
          <w:rFonts w:ascii="Times New Roman" w:hAnsi="Times New Roman"/>
          <w:sz w:val="24"/>
          <w:szCs w:val="24"/>
          <w:lang w:val="fr-FR"/>
        </w:rPr>
        <w:t>à moins qu’elle ne résulte d’opérations spécifiquement prévues dans un budget prévisionnel dûment approuvé par le Comité de Surveillance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w:t>
      </w:r>
      <w:r w:rsidR="002F05DA">
        <w:rPr>
          <w:rFonts w:ascii="Times New Roman" w:hAnsi="Times New Roman"/>
          <w:sz w:val="24"/>
          <w:szCs w:val="24"/>
          <w:lang w:val="fr-FR"/>
        </w:rPr>
        <w:t xml:space="preserve"> ou concession auprès d’un tiers (autrement qu’à titre gratuit)</w:t>
      </w:r>
      <w:r w:rsidRPr="00781352">
        <w:rPr>
          <w:rFonts w:ascii="Times New Roman" w:hAnsi="Times New Roman"/>
          <w:sz w:val="24"/>
          <w:szCs w:val="24"/>
          <w:lang w:val="fr-FR"/>
        </w:rPr>
        <w:t>, cession ou concession</w:t>
      </w:r>
      <w:r w:rsidR="002F05DA">
        <w:rPr>
          <w:rFonts w:ascii="Times New Roman" w:hAnsi="Times New Roman"/>
          <w:sz w:val="24"/>
          <w:szCs w:val="24"/>
          <w:lang w:val="fr-FR"/>
        </w:rPr>
        <w:t xml:space="preserve"> à un tiers</w:t>
      </w:r>
      <w:r w:rsidRPr="00781352">
        <w:rPr>
          <w:rFonts w:ascii="Times New Roman" w:hAnsi="Times New Roman"/>
          <w:sz w:val="24"/>
          <w:szCs w:val="24"/>
          <w:lang w:val="fr-FR"/>
        </w:rPr>
        <w:t xml:space="preserve"> de droits</w:t>
      </w:r>
      <w:r w:rsidR="002F05DA">
        <w:rPr>
          <w:rFonts w:ascii="Times New Roman" w:hAnsi="Times New Roman"/>
          <w:sz w:val="24"/>
          <w:szCs w:val="24"/>
          <w:lang w:val="fr-FR"/>
        </w:rPr>
        <w:t xml:space="preserve"> de propriété</w:t>
      </w:r>
      <w:r w:rsidRPr="00781352">
        <w:rPr>
          <w:rFonts w:ascii="Times New Roman" w:hAnsi="Times New Roman"/>
          <w:sz w:val="24"/>
          <w:szCs w:val="24"/>
          <w:lang w:val="fr-FR"/>
        </w:rPr>
        <w:t xml:space="preserve"> intellectuels, licences ou marques utiles à l’activité de la Socié</w:t>
      </w:r>
      <w:r>
        <w:rPr>
          <w:rFonts w:ascii="Times New Roman" w:hAnsi="Times New Roman"/>
          <w:sz w:val="24"/>
          <w:szCs w:val="24"/>
          <w:lang w:val="fr-FR"/>
        </w:rPr>
        <w:t>té et/ou d’une de ses Filiales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lastRenderedPageBreak/>
        <w:t>la conclusion, la modification significative ou la résiliation de toute convention ayant une durée de plus de trois (3) ans et relative à l’acquisition de chutes de titane, de vente de titane sous toutes ses formes ou d’approvisionnement en éponges de tita</w:t>
      </w:r>
      <w:r>
        <w:rPr>
          <w:rFonts w:ascii="Times New Roman" w:hAnsi="Times New Roman"/>
          <w:sz w:val="24"/>
          <w:szCs w:val="24"/>
          <w:lang w:val="fr-FR"/>
        </w:rPr>
        <w:t>ne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d’une convention autre qu’une convention usuelle conclue à des conditions normales entre (i) la Société ou une filiale de la Société et (ii) le Président, un Directeur Général, un Associé ou un Affilié d’un Associé</w:t>
      </w:r>
      <w:r w:rsidR="00067BC6">
        <w:rPr>
          <w:rFonts w:ascii="Times New Roman" w:hAnsi="Times New Roman"/>
          <w:sz w:val="24"/>
          <w:szCs w:val="24"/>
          <w:lang w:val="fr-FR"/>
        </w:rPr>
        <w:t>, et notamment toute convention d’assistance et/ou de prestation de service</w:t>
      </w:r>
      <w:r w:rsidR="005A3BAA">
        <w:rPr>
          <w:rFonts w:ascii="Times New Roman" w:hAnsi="Times New Roman"/>
          <w:sz w:val="24"/>
          <w:szCs w:val="24"/>
          <w:lang w:val="fr-FR"/>
        </w:rPr>
        <w:t>s</w:t>
      </w:r>
      <w:r w:rsidRPr="00781352">
        <w:rPr>
          <w:rFonts w:ascii="Times New Roman" w:hAnsi="Times New Roman"/>
          <w:sz w:val="24"/>
          <w:szCs w:val="24"/>
          <w:lang w:val="fr-FR"/>
        </w:rPr>
        <w:t xml:space="preserve"> ;</w:t>
      </w:r>
    </w:p>
    <w:p w:rsidR="00DD4944" w:rsidRDefault="00DD4944" w:rsidP="00DD4944">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la conclusion</w:t>
      </w:r>
      <w:r w:rsidR="00424E88">
        <w:rPr>
          <w:rFonts w:ascii="Times New Roman" w:hAnsi="Times New Roman"/>
          <w:sz w:val="24"/>
          <w:szCs w:val="24"/>
          <w:lang w:val="fr-FR"/>
        </w:rPr>
        <w:t>, la modification ou la résiliation</w:t>
      </w:r>
      <w:r>
        <w:rPr>
          <w:rFonts w:ascii="Times New Roman" w:hAnsi="Times New Roman"/>
          <w:sz w:val="24"/>
          <w:szCs w:val="24"/>
          <w:lang w:val="fr-FR"/>
        </w:rPr>
        <w:t xml:space="preserve"> de tout contrat de vente de lingots de titane (i) ayant une durée supérieure ou égale à 3 ans </w:t>
      </w:r>
      <w:r w:rsidRPr="0059774E">
        <w:rPr>
          <w:rFonts w:ascii="Times New Roman" w:hAnsi="Times New Roman"/>
          <w:sz w:val="24"/>
          <w:szCs w:val="24"/>
          <w:u w:val="single"/>
          <w:lang w:val="fr-FR"/>
        </w:rPr>
        <w:t>et</w:t>
      </w:r>
      <w:r w:rsidR="008F2282">
        <w:rPr>
          <w:rFonts w:ascii="Times New Roman" w:hAnsi="Times New Roman"/>
          <w:sz w:val="24"/>
          <w:szCs w:val="24"/>
          <w:lang w:val="fr-FR"/>
        </w:rPr>
        <w:t xml:space="preserve"> </w:t>
      </w:r>
      <w:r>
        <w:rPr>
          <w:rFonts w:ascii="Times New Roman" w:hAnsi="Times New Roman"/>
          <w:sz w:val="24"/>
          <w:szCs w:val="24"/>
          <w:lang w:val="fr-FR"/>
        </w:rPr>
        <w:t xml:space="preserve">portant sur </w:t>
      </w:r>
      <w:r w:rsidRPr="001A5673">
        <w:rPr>
          <w:rFonts w:ascii="Times New Roman" w:hAnsi="Times New Roman"/>
          <w:sz w:val="24"/>
          <w:szCs w:val="24"/>
          <w:lang w:val="fr-FR"/>
        </w:rPr>
        <w:t>un volume</w:t>
      </w:r>
      <w:r w:rsidR="008F2282" w:rsidRPr="001A5673">
        <w:rPr>
          <w:rFonts w:ascii="Times New Roman" w:hAnsi="Times New Roman"/>
          <w:sz w:val="24"/>
          <w:szCs w:val="24"/>
          <w:lang w:val="fr-FR"/>
        </w:rPr>
        <w:t xml:space="preserve"> total</w:t>
      </w:r>
      <w:r w:rsidR="00363B1A">
        <w:rPr>
          <w:rFonts w:ascii="Times New Roman" w:hAnsi="Times New Roman"/>
          <w:sz w:val="24"/>
          <w:szCs w:val="24"/>
          <w:lang w:val="fr-FR"/>
        </w:rPr>
        <w:t xml:space="preserve"> (y compris sur plusieurs années)</w:t>
      </w:r>
      <w:r w:rsidR="008F2282" w:rsidRPr="001A5673">
        <w:rPr>
          <w:rFonts w:ascii="Times New Roman" w:hAnsi="Times New Roman"/>
          <w:sz w:val="24"/>
          <w:szCs w:val="24"/>
          <w:lang w:val="fr-FR"/>
        </w:rPr>
        <w:t xml:space="preserve"> </w:t>
      </w:r>
      <w:r>
        <w:rPr>
          <w:rFonts w:ascii="Times New Roman" w:hAnsi="Times New Roman"/>
          <w:sz w:val="24"/>
          <w:szCs w:val="24"/>
          <w:lang w:val="fr-FR"/>
        </w:rPr>
        <w:t xml:space="preserve">de lingots de 250 tonnes ou </w:t>
      </w:r>
      <w:r w:rsidR="001A5673">
        <w:rPr>
          <w:rFonts w:ascii="Times New Roman" w:hAnsi="Times New Roman"/>
          <w:sz w:val="24"/>
          <w:szCs w:val="24"/>
          <w:lang w:val="fr-FR"/>
        </w:rPr>
        <w:t xml:space="preserve">plus </w:t>
      </w:r>
      <w:r w:rsidR="001A5673" w:rsidRPr="001A5673">
        <w:rPr>
          <w:rFonts w:ascii="Times New Roman" w:hAnsi="Times New Roman"/>
          <w:b/>
          <w:sz w:val="24"/>
          <w:szCs w:val="24"/>
          <w:u w:val="single"/>
          <w:lang w:val="fr-FR"/>
        </w:rPr>
        <w:t>ou</w:t>
      </w:r>
      <w:r w:rsidR="001A5673">
        <w:rPr>
          <w:rFonts w:ascii="Times New Roman" w:hAnsi="Times New Roman"/>
          <w:sz w:val="24"/>
          <w:szCs w:val="24"/>
          <w:lang w:val="fr-FR"/>
        </w:rPr>
        <w:t xml:space="preserve"> (ii)</w:t>
      </w:r>
      <w:r>
        <w:rPr>
          <w:rFonts w:ascii="Times New Roman" w:hAnsi="Times New Roman"/>
          <w:sz w:val="24"/>
          <w:szCs w:val="24"/>
          <w:lang w:val="fr-FR"/>
        </w:rPr>
        <w:t xml:space="preserve"> </w:t>
      </w:r>
      <w:r w:rsidR="001A5673">
        <w:rPr>
          <w:rFonts w:ascii="Times New Roman" w:hAnsi="Times New Roman"/>
          <w:sz w:val="24"/>
          <w:szCs w:val="24"/>
          <w:lang w:val="fr-FR"/>
        </w:rPr>
        <w:t xml:space="preserve">portant </w:t>
      </w:r>
      <w:r>
        <w:rPr>
          <w:rFonts w:ascii="Times New Roman" w:hAnsi="Times New Roman"/>
          <w:sz w:val="24"/>
          <w:szCs w:val="24"/>
          <w:lang w:val="fr-FR"/>
        </w:rPr>
        <w:t>sur un volume de lingots représentant</w:t>
      </w:r>
      <w:r w:rsidR="001A5673">
        <w:rPr>
          <w:rFonts w:ascii="Times New Roman" w:hAnsi="Times New Roman"/>
          <w:sz w:val="24"/>
          <w:szCs w:val="24"/>
          <w:lang w:val="fr-FR"/>
        </w:rPr>
        <w:t xml:space="preserve">, au titre </w:t>
      </w:r>
      <w:r w:rsidR="00363B1A">
        <w:rPr>
          <w:rFonts w:ascii="Times New Roman" w:hAnsi="Times New Roman"/>
          <w:sz w:val="24"/>
          <w:szCs w:val="24"/>
          <w:lang w:val="fr-FR"/>
        </w:rPr>
        <w:t>d’un quelconque</w:t>
      </w:r>
      <w:r w:rsidR="001A5673">
        <w:rPr>
          <w:rFonts w:ascii="Times New Roman" w:hAnsi="Times New Roman"/>
          <w:sz w:val="24"/>
          <w:szCs w:val="24"/>
          <w:lang w:val="fr-FR"/>
        </w:rPr>
        <w:t xml:space="preserve"> exercice couvert par ledit contrat,</w:t>
      </w:r>
      <w:r w:rsidR="008F2282" w:rsidRPr="001A5673">
        <w:rPr>
          <w:rFonts w:ascii="Times New Roman" w:hAnsi="Times New Roman"/>
          <w:sz w:val="24"/>
          <w:szCs w:val="24"/>
          <w:lang w:val="fr-FR"/>
        </w:rPr>
        <w:t xml:space="preserve"> </w:t>
      </w:r>
      <w:r w:rsidRPr="001A5673">
        <w:rPr>
          <w:rFonts w:ascii="Times New Roman" w:hAnsi="Times New Roman"/>
          <w:sz w:val="24"/>
          <w:szCs w:val="24"/>
          <w:lang w:val="fr-FR"/>
        </w:rPr>
        <w:t>plus de 10% du volume global</w:t>
      </w:r>
      <w:r>
        <w:rPr>
          <w:rFonts w:ascii="Times New Roman" w:hAnsi="Times New Roman"/>
          <w:sz w:val="24"/>
          <w:szCs w:val="24"/>
          <w:lang w:val="fr-FR"/>
        </w:rPr>
        <w:t xml:space="preserve"> prévu</w:t>
      </w:r>
      <w:r w:rsidR="001A5673">
        <w:rPr>
          <w:rFonts w:ascii="Times New Roman" w:hAnsi="Times New Roman"/>
          <w:sz w:val="24"/>
          <w:szCs w:val="24"/>
          <w:lang w:val="fr-FR"/>
        </w:rPr>
        <w:t xml:space="preserve"> pour l’exercice considéré</w:t>
      </w:r>
      <w:r>
        <w:rPr>
          <w:rFonts w:ascii="Times New Roman" w:hAnsi="Times New Roman"/>
          <w:sz w:val="24"/>
          <w:szCs w:val="24"/>
          <w:lang w:val="fr-FR"/>
        </w:rPr>
        <w:t xml:space="preserve"> dans le</w:t>
      </w:r>
      <w:r w:rsidRPr="005C56FA">
        <w:rPr>
          <w:rFonts w:ascii="Times New Roman" w:hAnsi="Times New Roman"/>
          <w:sz w:val="24"/>
          <w:szCs w:val="24"/>
          <w:lang w:val="fr-FR"/>
        </w:rPr>
        <w:t xml:space="preserve"> budget prévisionnel</w:t>
      </w:r>
      <w:r w:rsidR="00363B1A">
        <w:rPr>
          <w:rFonts w:ascii="Times New Roman" w:hAnsi="Times New Roman"/>
          <w:sz w:val="24"/>
          <w:szCs w:val="24"/>
          <w:lang w:val="fr-FR"/>
        </w:rPr>
        <w:t xml:space="preserve"> de la Société</w:t>
      </w:r>
      <w:r w:rsidRPr="005C56FA">
        <w:rPr>
          <w:rFonts w:ascii="Times New Roman" w:hAnsi="Times New Roman"/>
          <w:sz w:val="24"/>
          <w:szCs w:val="24"/>
          <w:lang w:val="fr-FR"/>
        </w:rPr>
        <w:t xml:space="preserve"> </w:t>
      </w:r>
      <w:r w:rsidR="00363B1A">
        <w:rPr>
          <w:rFonts w:ascii="Times New Roman" w:hAnsi="Times New Roman"/>
          <w:sz w:val="24"/>
          <w:szCs w:val="24"/>
          <w:lang w:val="fr-FR"/>
        </w:rPr>
        <w:t>tel qu’</w:t>
      </w:r>
      <w:r w:rsidRPr="005C56FA">
        <w:rPr>
          <w:rFonts w:ascii="Times New Roman" w:hAnsi="Times New Roman"/>
          <w:sz w:val="24"/>
          <w:szCs w:val="24"/>
          <w:lang w:val="fr-FR"/>
        </w:rPr>
        <w:t>approuvé par le Comité de Surveillance</w:t>
      </w:r>
      <w:r>
        <w:rPr>
          <w:rFonts w:ascii="Times New Roman" w:hAnsi="Times New Roman"/>
          <w:sz w:val="24"/>
          <w:szCs w:val="24"/>
          <w:lang w:val="fr-FR"/>
        </w:rPr>
        <w:t> ;</w:t>
      </w:r>
    </w:p>
    <w:p w:rsidR="00A63A38" w:rsidRDefault="00A63A38" w:rsidP="00DD4944">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reconduction, au-delà de </w:t>
      </w:r>
      <w:r w:rsidR="00942E3B">
        <w:rPr>
          <w:rFonts w:ascii="Times New Roman" w:hAnsi="Times New Roman"/>
          <w:sz w:val="24"/>
          <w:szCs w:val="24"/>
          <w:lang w:val="fr-FR"/>
        </w:rPr>
        <w:t>son terme contractuel</w:t>
      </w:r>
      <w:r>
        <w:rPr>
          <w:rFonts w:ascii="Times New Roman" w:hAnsi="Times New Roman"/>
          <w:sz w:val="24"/>
          <w:szCs w:val="24"/>
          <w:lang w:val="fr-FR"/>
        </w:rPr>
        <w:t xml:space="preserve">, de tout contrat de vente de lingots </w:t>
      </w:r>
      <w:r w:rsidR="0037541E">
        <w:rPr>
          <w:rFonts w:ascii="Times New Roman" w:hAnsi="Times New Roman"/>
          <w:sz w:val="24"/>
          <w:szCs w:val="24"/>
          <w:lang w:val="fr-FR"/>
        </w:rPr>
        <w:t xml:space="preserve">de titane </w:t>
      </w:r>
      <w:r>
        <w:rPr>
          <w:rFonts w:ascii="Times New Roman" w:hAnsi="Times New Roman"/>
          <w:sz w:val="24"/>
          <w:szCs w:val="24"/>
          <w:lang w:val="fr-FR"/>
        </w:rPr>
        <w:t xml:space="preserve">tacitement reconductible qui a porté, au cours de ses trois premières années d’exécution, sur </w:t>
      </w:r>
      <w:r w:rsidRPr="001A5673">
        <w:rPr>
          <w:rFonts w:ascii="Times New Roman" w:hAnsi="Times New Roman"/>
          <w:sz w:val="24"/>
          <w:szCs w:val="24"/>
          <w:lang w:val="fr-FR"/>
        </w:rPr>
        <w:t>un volume total</w:t>
      </w:r>
      <w:r>
        <w:rPr>
          <w:rFonts w:ascii="Times New Roman" w:hAnsi="Times New Roman"/>
          <w:sz w:val="24"/>
          <w:szCs w:val="24"/>
          <w:lang w:val="fr-FR"/>
        </w:rPr>
        <w:t xml:space="preserve"> de lingots </w:t>
      </w:r>
      <w:r w:rsidR="009E172B">
        <w:rPr>
          <w:rFonts w:ascii="Times New Roman" w:hAnsi="Times New Roman"/>
          <w:sz w:val="24"/>
          <w:szCs w:val="24"/>
          <w:lang w:val="fr-FR"/>
        </w:rPr>
        <w:t>au moins égal à</w:t>
      </w:r>
      <w:r>
        <w:rPr>
          <w:rFonts w:ascii="Times New Roman" w:hAnsi="Times New Roman"/>
          <w:sz w:val="24"/>
          <w:szCs w:val="24"/>
          <w:lang w:val="fr-FR"/>
        </w:rPr>
        <w:t xml:space="preserve"> 250 tonnes</w:t>
      </w:r>
      <w:r w:rsidR="00942E3B">
        <w:rPr>
          <w:rFonts w:ascii="Times New Roman" w:hAnsi="Times New Roman"/>
          <w:sz w:val="24"/>
          <w:szCs w:val="24"/>
          <w:lang w:val="fr-FR"/>
        </w:rPr>
        <w:t> ;</w:t>
      </w:r>
    </w:p>
    <w:p w:rsidR="00DD4944" w:rsidRDefault="008E06E3" w:rsidP="00781352">
      <w:pPr>
        <w:pStyle w:val="alpha3"/>
        <w:tabs>
          <w:tab w:val="clear" w:pos="2041"/>
          <w:tab w:val="num" w:pos="-1219"/>
        </w:tabs>
        <w:spacing w:line="240" w:lineRule="auto"/>
        <w:ind w:left="680"/>
        <w:rPr>
          <w:rFonts w:ascii="Times New Roman" w:hAnsi="Times New Roman"/>
          <w:sz w:val="24"/>
          <w:szCs w:val="24"/>
          <w:lang w:val="fr-FR"/>
        </w:rPr>
      </w:pPr>
      <w:r>
        <w:rPr>
          <w:rFonts w:ascii="Times New Roman" w:hAnsi="Times New Roman"/>
          <w:sz w:val="24"/>
          <w:szCs w:val="24"/>
          <w:lang w:val="fr-FR"/>
        </w:rPr>
        <w:t>la fixation</w:t>
      </w:r>
      <w:r w:rsidR="00715A5A">
        <w:rPr>
          <w:rFonts w:ascii="Times New Roman" w:hAnsi="Times New Roman"/>
          <w:sz w:val="24"/>
          <w:szCs w:val="24"/>
          <w:lang w:val="fr-FR"/>
        </w:rPr>
        <w:t xml:space="preserve"> </w:t>
      </w:r>
      <w:r w:rsidR="0017383A">
        <w:rPr>
          <w:rFonts w:ascii="Times New Roman" w:hAnsi="Times New Roman"/>
          <w:sz w:val="24"/>
          <w:szCs w:val="24"/>
          <w:lang w:val="fr-FR"/>
        </w:rPr>
        <w:t>ou</w:t>
      </w:r>
      <w:r w:rsidR="00715A5A">
        <w:rPr>
          <w:rFonts w:ascii="Times New Roman" w:hAnsi="Times New Roman"/>
          <w:sz w:val="24"/>
          <w:szCs w:val="24"/>
          <w:lang w:val="fr-FR"/>
        </w:rPr>
        <w:t xml:space="preserve"> la révision annuelle</w:t>
      </w:r>
      <w:r>
        <w:rPr>
          <w:rFonts w:ascii="Times New Roman" w:hAnsi="Times New Roman"/>
          <w:sz w:val="24"/>
          <w:szCs w:val="24"/>
          <w:lang w:val="fr-FR"/>
        </w:rPr>
        <w:t xml:space="preserve"> de la Marge </w:t>
      </w:r>
      <w:r w:rsidR="001A5673">
        <w:rPr>
          <w:rFonts w:ascii="Times New Roman" w:hAnsi="Times New Roman"/>
          <w:sz w:val="24"/>
          <w:szCs w:val="24"/>
          <w:lang w:val="fr-FR"/>
        </w:rPr>
        <w:t>Contributive Budgétée</w:t>
      </w:r>
      <w:r>
        <w:rPr>
          <w:rFonts w:ascii="Times New Roman" w:hAnsi="Times New Roman"/>
          <w:sz w:val="24"/>
          <w:szCs w:val="24"/>
          <w:lang w:val="fr-FR"/>
        </w:rPr>
        <w:t> ;</w:t>
      </w:r>
    </w:p>
    <w:p w:rsidR="008E06E3" w:rsidRDefault="008E06E3" w:rsidP="00781352">
      <w:pPr>
        <w:pStyle w:val="alpha3"/>
        <w:tabs>
          <w:tab w:val="clear" w:pos="2041"/>
          <w:tab w:val="num" w:pos="-1219"/>
        </w:tabs>
        <w:spacing w:line="240" w:lineRule="auto"/>
        <w:ind w:left="680"/>
        <w:rPr>
          <w:rFonts w:ascii="Times New Roman" w:hAnsi="Times New Roman"/>
          <w:sz w:val="24"/>
          <w:szCs w:val="24"/>
          <w:lang w:val="fr-FR"/>
        </w:rPr>
      </w:pPr>
      <w:r>
        <w:rPr>
          <w:rFonts w:ascii="Times New Roman" w:hAnsi="Times New Roman"/>
          <w:sz w:val="24"/>
          <w:szCs w:val="24"/>
          <w:lang w:val="fr-FR"/>
        </w:rPr>
        <w:t>la conclusion</w:t>
      </w:r>
      <w:r w:rsidR="00715A5A">
        <w:rPr>
          <w:rFonts w:ascii="Times New Roman" w:hAnsi="Times New Roman"/>
          <w:sz w:val="24"/>
          <w:szCs w:val="24"/>
          <w:lang w:val="fr-FR"/>
        </w:rPr>
        <w:t xml:space="preserve"> ou la modification </w:t>
      </w:r>
      <w:r>
        <w:rPr>
          <w:rFonts w:ascii="Times New Roman" w:hAnsi="Times New Roman"/>
          <w:sz w:val="24"/>
          <w:szCs w:val="24"/>
          <w:lang w:val="fr-FR"/>
        </w:rPr>
        <w:t xml:space="preserve">de tout contrat de vente de lingots de titane à des conditions telles que le Taux de Marge </w:t>
      </w:r>
      <w:r w:rsidR="001A5673">
        <w:rPr>
          <w:rFonts w:ascii="Times New Roman" w:hAnsi="Times New Roman"/>
          <w:sz w:val="24"/>
          <w:szCs w:val="24"/>
          <w:lang w:val="fr-FR"/>
        </w:rPr>
        <w:t>Contributive</w:t>
      </w:r>
      <w:r>
        <w:rPr>
          <w:rFonts w:ascii="Times New Roman" w:hAnsi="Times New Roman"/>
          <w:sz w:val="24"/>
          <w:szCs w:val="24"/>
          <w:lang w:val="fr-FR"/>
        </w:rPr>
        <w:t xml:space="preserve"> </w:t>
      </w:r>
      <w:r w:rsidR="00363B1A">
        <w:rPr>
          <w:rFonts w:ascii="Times New Roman" w:hAnsi="Times New Roman"/>
          <w:sz w:val="24"/>
          <w:szCs w:val="24"/>
          <w:lang w:val="fr-FR"/>
        </w:rPr>
        <w:t>résultant de</w:t>
      </w:r>
      <w:r>
        <w:rPr>
          <w:rFonts w:ascii="Times New Roman" w:hAnsi="Times New Roman"/>
          <w:sz w:val="24"/>
          <w:szCs w:val="24"/>
          <w:lang w:val="fr-FR"/>
        </w:rPr>
        <w:t xml:space="preserve"> ce contrat </w:t>
      </w:r>
      <w:r w:rsidR="00363B1A">
        <w:rPr>
          <w:rFonts w:ascii="Times New Roman" w:hAnsi="Times New Roman"/>
          <w:sz w:val="24"/>
          <w:szCs w:val="24"/>
          <w:lang w:val="fr-FR"/>
        </w:rPr>
        <w:t>est</w:t>
      </w:r>
      <w:r>
        <w:rPr>
          <w:rFonts w:ascii="Times New Roman" w:hAnsi="Times New Roman"/>
          <w:sz w:val="24"/>
          <w:szCs w:val="24"/>
          <w:lang w:val="fr-FR"/>
        </w:rPr>
        <w:t xml:space="preserve"> inférieur </w:t>
      </w:r>
      <w:r w:rsidR="00363B1A">
        <w:rPr>
          <w:rFonts w:ascii="Times New Roman" w:hAnsi="Times New Roman"/>
          <w:sz w:val="24"/>
          <w:szCs w:val="24"/>
          <w:lang w:val="fr-FR"/>
        </w:rPr>
        <w:t>au quart de la</w:t>
      </w:r>
      <w:r>
        <w:rPr>
          <w:rFonts w:ascii="Times New Roman" w:hAnsi="Times New Roman"/>
          <w:sz w:val="24"/>
          <w:szCs w:val="24"/>
          <w:lang w:val="fr-FR"/>
        </w:rPr>
        <w:t xml:space="preserve"> </w:t>
      </w:r>
      <w:r w:rsidR="001A5673">
        <w:rPr>
          <w:rFonts w:ascii="Times New Roman" w:hAnsi="Times New Roman"/>
          <w:sz w:val="24"/>
          <w:szCs w:val="24"/>
          <w:lang w:val="fr-FR"/>
        </w:rPr>
        <w:t>Marge Contributive Budgétée </w:t>
      </w:r>
      <w:r>
        <w:rPr>
          <w:rFonts w:ascii="Times New Roman" w:hAnsi="Times New Roman"/>
          <w:sz w:val="24"/>
          <w:szCs w:val="24"/>
          <w:lang w:val="fr-FR"/>
        </w:rPr>
        <w:t>;</w:t>
      </w:r>
    </w:p>
    <w:p w:rsidR="008E06E3" w:rsidRDefault="008E06E3" w:rsidP="00781352">
      <w:pPr>
        <w:pStyle w:val="alpha3"/>
        <w:tabs>
          <w:tab w:val="clear" w:pos="2041"/>
          <w:tab w:val="num" w:pos="-1219"/>
        </w:tabs>
        <w:spacing w:line="240" w:lineRule="auto"/>
        <w:ind w:left="680"/>
        <w:rPr>
          <w:rFonts w:ascii="Times New Roman" w:hAnsi="Times New Roman"/>
          <w:sz w:val="24"/>
          <w:szCs w:val="24"/>
          <w:lang w:val="fr-FR"/>
        </w:rPr>
      </w:pPr>
      <w:r>
        <w:rPr>
          <w:rFonts w:ascii="Times New Roman" w:hAnsi="Times New Roman"/>
          <w:sz w:val="24"/>
          <w:szCs w:val="24"/>
          <w:lang w:val="fr-FR"/>
        </w:rPr>
        <w:t>la conclusion</w:t>
      </w:r>
      <w:r w:rsidR="00C15695">
        <w:rPr>
          <w:rFonts w:ascii="Times New Roman" w:hAnsi="Times New Roman"/>
          <w:sz w:val="24"/>
          <w:szCs w:val="24"/>
          <w:lang w:val="fr-FR"/>
        </w:rPr>
        <w:t xml:space="preserve"> ou</w:t>
      </w:r>
      <w:r w:rsidR="0017383A">
        <w:rPr>
          <w:rFonts w:ascii="Times New Roman" w:hAnsi="Times New Roman"/>
          <w:sz w:val="24"/>
          <w:szCs w:val="24"/>
          <w:lang w:val="fr-FR"/>
        </w:rPr>
        <w:t xml:space="preserve"> la modification </w:t>
      </w:r>
      <w:r>
        <w:rPr>
          <w:rFonts w:ascii="Times New Roman" w:hAnsi="Times New Roman"/>
          <w:sz w:val="24"/>
          <w:szCs w:val="24"/>
          <w:lang w:val="fr-FR"/>
        </w:rPr>
        <w:t xml:space="preserve">de contrats de vente de lingots de titane </w:t>
      </w:r>
      <w:r w:rsidR="0083105E">
        <w:rPr>
          <w:rFonts w:ascii="Times New Roman" w:hAnsi="Times New Roman"/>
          <w:sz w:val="24"/>
          <w:szCs w:val="24"/>
          <w:lang w:val="fr-FR"/>
        </w:rPr>
        <w:t>dont il résulte un</w:t>
      </w:r>
      <w:r>
        <w:rPr>
          <w:rFonts w:ascii="Times New Roman" w:hAnsi="Times New Roman"/>
          <w:sz w:val="24"/>
          <w:szCs w:val="24"/>
          <w:lang w:val="fr-FR"/>
        </w:rPr>
        <w:t xml:space="preserve"> Taux de Marge </w:t>
      </w:r>
      <w:r w:rsidR="001A5673">
        <w:rPr>
          <w:rFonts w:ascii="Times New Roman" w:hAnsi="Times New Roman"/>
          <w:sz w:val="24"/>
          <w:szCs w:val="24"/>
          <w:lang w:val="fr-FR"/>
        </w:rPr>
        <w:t xml:space="preserve">Contributive </w:t>
      </w:r>
      <w:r>
        <w:rPr>
          <w:rFonts w:ascii="Times New Roman" w:hAnsi="Times New Roman"/>
          <w:sz w:val="24"/>
          <w:szCs w:val="24"/>
          <w:lang w:val="fr-FR"/>
        </w:rPr>
        <w:t xml:space="preserve">compris entre (i) </w:t>
      </w:r>
      <w:r w:rsidR="00363B1A">
        <w:rPr>
          <w:rFonts w:ascii="Times New Roman" w:hAnsi="Times New Roman"/>
          <w:sz w:val="24"/>
          <w:szCs w:val="24"/>
          <w:lang w:val="fr-FR"/>
        </w:rPr>
        <w:t>le quart de la</w:t>
      </w:r>
      <w:r w:rsidR="001A5673">
        <w:rPr>
          <w:rFonts w:ascii="Times New Roman" w:hAnsi="Times New Roman"/>
          <w:sz w:val="24"/>
          <w:szCs w:val="24"/>
          <w:lang w:val="fr-FR"/>
        </w:rPr>
        <w:t xml:space="preserve"> Marge Contributive Budgétée </w:t>
      </w:r>
      <w:r w:rsidR="008F2282">
        <w:rPr>
          <w:rFonts w:ascii="Times New Roman" w:hAnsi="Times New Roman"/>
          <w:sz w:val="24"/>
          <w:szCs w:val="24"/>
          <w:lang w:val="fr-FR"/>
        </w:rPr>
        <w:t>et (ii)</w:t>
      </w:r>
      <w:r>
        <w:rPr>
          <w:rFonts w:ascii="Times New Roman" w:hAnsi="Times New Roman"/>
          <w:sz w:val="24"/>
          <w:szCs w:val="24"/>
          <w:lang w:val="fr-FR"/>
        </w:rPr>
        <w:t xml:space="preserve"> </w:t>
      </w:r>
      <w:r w:rsidR="00363B1A">
        <w:rPr>
          <w:rFonts w:ascii="Times New Roman" w:hAnsi="Times New Roman"/>
          <w:sz w:val="24"/>
          <w:szCs w:val="24"/>
          <w:lang w:val="fr-FR"/>
        </w:rPr>
        <w:t>la moitié de la</w:t>
      </w:r>
      <w:r w:rsidR="001A5673">
        <w:rPr>
          <w:rFonts w:ascii="Times New Roman" w:hAnsi="Times New Roman"/>
          <w:sz w:val="24"/>
          <w:szCs w:val="24"/>
          <w:lang w:val="fr-FR"/>
        </w:rPr>
        <w:t xml:space="preserve"> Marge Contributive Budgétée</w:t>
      </w:r>
      <w:r w:rsidR="00F1092C">
        <w:rPr>
          <w:rFonts w:ascii="Times New Roman" w:hAnsi="Times New Roman"/>
          <w:sz w:val="24"/>
          <w:szCs w:val="24"/>
          <w:lang w:val="fr-FR"/>
        </w:rPr>
        <w:t xml:space="preserve">, </w:t>
      </w:r>
      <w:r w:rsidR="0083105E">
        <w:rPr>
          <w:rFonts w:ascii="Times New Roman" w:hAnsi="Times New Roman"/>
          <w:sz w:val="24"/>
          <w:szCs w:val="24"/>
          <w:lang w:val="fr-FR"/>
        </w:rPr>
        <w:t xml:space="preserve">étant précisé que </w:t>
      </w:r>
      <w:r w:rsidR="00CE6D96">
        <w:rPr>
          <w:rFonts w:ascii="Times New Roman" w:hAnsi="Times New Roman"/>
          <w:sz w:val="24"/>
          <w:szCs w:val="24"/>
          <w:lang w:val="fr-FR"/>
        </w:rPr>
        <w:t xml:space="preserve">l’autorisation du Comité de Surveillance </w:t>
      </w:r>
      <w:r w:rsidR="0083105E">
        <w:rPr>
          <w:rFonts w:ascii="Times New Roman" w:hAnsi="Times New Roman"/>
          <w:sz w:val="24"/>
          <w:szCs w:val="24"/>
          <w:lang w:val="fr-FR"/>
        </w:rPr>
        <w:t>ne sera</w:t>
      </w:r>
      <w:r w:rsidR="00CE6D96">
        <w:rPr>
          <w:rFonts w:ascii="Times New Roman" w:hAnsi="Times New Roman"/>
          <w:sz w:val="24"/>
          <w:szCs w:val="24"/>
          <w:lang w:val="fr-FR"/>
        </w:rPr>
        <w:t xml:space="preserve"> requise </w:t>
      </w:r>
      <w:r w:rsidR="0083105E">
        <w:rPr>
          <w:rFonts w:ascii="Times New Roman" w:hAnsi="Times New Roman"/>
          <w:sz w:val="24"/>
          <w:szCs w:val="24"/>
          <w:lang w:val="fr-FR"/>
        </w:rPr>
        <w:t>qu’</w:t>
      </w:r>
      <w:r w:rsidR="00CE6D96">
        <w:rPr>
          <w:rFonts w:ascii="Times New Roman" w:hAnsi="Times New Roman"/>
          <w:sz w:val="24"/>
          <w:szCs w:val="24"/>
          <w:lang w:val="fr-FR"/>
        </w:rPr>
        <w:t>à partir du moment où</w:t>
      </w:r>
      <w:r w:rsidR="00F1092C">
        <w:rPr>
          <w:rFonts w:ascii="Times New Roman" w:hAnsi="Times New Roman"/>
          <w:sz w:val="24"/>
          <w:szCs w:val="24"/>
          <w:lang w:val="fr-FR"/>
        </w:rPr>
        <w:t xml:space="preserve"> le volume </w:t>
      </w:r>
      <w:r w:rsidR="00C01433">
        <w:rPr>
          <w:rFonts w:ascii="Times New Roman" w:hAnsi="Times New Roman"/>
          <w:sz w:val="24"/>
          <w:szCs w:val="24"/>
          <w:lang w:val="fr-FR"/>
        </w:rPr>
        <w:t xml:space="preserve">de lingots </w:t>
      </w:r>
      <w:r w:rsidR="0083105E">
        <w:rPr>
          <w:rFonts w:ascii="Times New Roman" w:hAnsi="Times New Roman"/>
          <w:sz w:val="24"/>
          <w:szCs w:val="24"/>
          <w:lang w:val="fr-FR"/>
        </w:rPr>
        <w:t xml:space="preserve">représenté par </w:t>
      </w:r>
      <w:r w:rsidR="00363B1A">
        <w:rPr>
          <w:rFonts w:ascii="Times New Roman" w:hAnsi="Times New Roman"/>
          <w:sz w:val="24"/>
          <w:szCs w:val="24"/>
          <w:lang w:val="fr-FR"/>
        </w:rPr>
        <w:t xml:space="preserve">de tels </w:t>
      </w:r>
      <w:r w:rsidR="0083105E">
        <w:rPr>
          <w:rFonts w:ascii="Times New Roman" w:hAnsi="Times New Roman"/>
          <w:sz w:val="24"/>
          <w:szCs w:val="24"/>
          <w:lang w:val="fr-FR"/>
        </w:rPr>
        <w:t>contrats excé</w:t>
      </w:r>
      <w:r w:rsidR="00C01433">
        <w:rPr>
          <w:rFonts w:ascii="Times New Roman" w:hAnsi="Times New Roman"/>
          <w:sz w:val="24"/>
          <w:szCs w:val="24"/>
          <w:lang w:val="fr-FR"/>
        </w:rPr>
        <w:t>de</w:t>
      </w:r>
      <w:r w:rsidR="0083105E">
        <w:rPr>
          <w:rFonts w:ascii="Times New Roman" w:hAnsi="Times New Roman"/>
          <w:sz w:val="24"/>
          <w:szCs w:val="24"/>
          <w:lang w:val="fr-FR"/>
        </w:rPr>
        <w:t>ra</w:t>
      </w:r>
      <w:r w:rsidR="00C01433">
        <w:rPr>
          <w:rFonts w:ascii="Times New Roman" w:hAnsi="Times New Roman"/>
          <w:sz w:val="24"/>
          <w:szCs w:val="24"/>
          <w:lang w:val="fr-FR"/>
        </w:rPr>
        <w:t xml:space="preserve"> globalement</w:t>
      </w:r>
      <w:r w:rsidR="00695798">
        <w:rPr>
          <w:rFonts w:ascii="Times New Roman" w:hAnsi="Times New Roman"/>
          <w:sz w:val="24"/>
          <w:szCs w:val="24"/>
          <w:lang w:val="fr-FR"/>
        </w:rPr>
        <w:t>, au titre d’une année d’exécution du contrat,</w:t>
      </w:r>
      <w:r w:rsidR="00C01433">
        <w:rPr>
          <w:rFonts w:ascii="Times New Roman" w:hAnsi="Times New Roman"/>
          <w:sz w:val="24"/>
          <w:szCs w:val="24"/>
          <w:lang w:val="fr-FR"/>
        </w:rPr>
        <w:t xml:space="preserve"> 10% du volume global prévu dans le</w:t>
      </w:r>
      <w:r w:rsidR="00C01433" w:rsidRPr="005C56FA">
        <w:rPr>
          <w:rFonts w:ascii="Times New Roman" w:hAnsi="Times New Roman"/>
          <w:sz w:val="24"/>
          <w:szCs w:val="24"/>
          <w:lang w:val="fr-FR"/>
        </w:rPr>
        <w:t xml:space="preserve"> budget prévisionnel approuvé par le Comité de Surveillance</w:t>
      </w:r>
      <w:r w:rsidR="00C01433">
        <w:rPr>
          <w:rFonts w:ascii="Times New Roman" w:hAnsi="Times New Roman"/>
          <w:sz w:val="24"/>
          <w:szCs w:val="24"/>
          <w:lang w:val="fr-FR"/>
        </w:rPr>
        <w:t xml:space="preserve"> au titre de l’</w:t>
      </w:r>
      <w:r w:rsidR="00747CB7">
        <w:rPr>
          <w:rFonts w:ascii="Times New Roman" w:hAnsi="Times New Roman"/>
          <w:sz w:val="24"/>
          <w:szCs w:val="24"/>
          <w:lang w:val="fr-FR"/>
        </w:rPr>
        <w:t>année considérée</w:t>
      </w:r>
      <w:r w:rsidR="0033755F">
        <w:rPr>
          <w:rFonts w:ascii="Times New Roman" w:hAnsi="Times New Roman"/>
          <w:sz w:val="24"/>
          <w:szCs w:val="24"/>
          <w:lang w:val="fr-FR"/>
        </w:rPr>
        <w:t> ;</w:t>
      </w:r>
      <w:r w:rsidR="00C01433">
        <w:rPr>
          <w:rFonts w:ascii="Times New Roman" w:hAnsi="Times New Roman"/>
          <w:sz w:val="24"/>
          <w:szCs w:val="24"/>
          <w:lang w:val="fr-FR"/>
        </w:rPr>
        <w:t>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modification aux principes d’évaluation et de présentation des comptes sociaux de la Soci</w:t>
      </w:r>
      <w:r>
        <w:rPr>
          <w:rFonts w:ascii="Times New Roman" w:hAnsi="Times New Roman"/>
          <w:sz w:val="24"/>
          <w:szCs w:val="24"/>
          <w:lang w:val="fr-FR"/>
        </w:rPr>
        <w:t>été et ou d’une de ses Filiales ;</w:t>
      </w:r>
      <w:r w:rsidRPr="00781352">
        <w:rPr>
          <w:rFonts w:ascii="Times New Roman" w:hAnsi="Times New Roman"/>
          <w:sz w:val="24"/>
          <w:szCs w:val="24"/>
          <w:lang w:val="fr-FR"/>
        </w:rPr>
        <w:t xml:space="preserve"> </w:t>
      </w:r>
    </w:p>
    <w:p w:rsidR="008955DA"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007E3627">
        <w:rPr>
          <w:rFonts w:ascii="Times New Roman" w:hAnsi="Times New Roman"/>
          <w:sz w:val="24"/>
          <w:szCs w:val="24"/>
          <w:lang w:val="fr-FR"/>
        </w:rPr>
        <w:t xml:space="preserve"> ; </w:t>
      </w:r>
    </w:p>
    <w:p w:rsidR="002D1C16" w:rsidRDefault="002D1C16" w:rsidP="00FC463D">
      <w:pPr>
        <w:pStyle w:val="alpha3"/>
        <w:spacing w:line="240" w:lineRule="auto"/>
        <w:ind w:left="680"/>
        <w:rPr>
          <w:rFonts w:ascii="Times New Roman" w:hAnsi="Times New Roman"/>
          <w:sz w:val="24"/>
          <w:szCs w:val="24"/>
          <w:lang w:val="fr-FR"/>
        </w:rPr>
      </w:pPr>
      <w:r w:rsidRPr="005C56FA">
        <w:rPr>
          <w:rFonts w:ascii="Times New Roman" w:hAnsi="Times New Roman"/>
          <w:sz w:val="24"/>
          <w:szCs w:val="24"/>
          <w:lang w:val="fr-FR"/>
        </w:rPr>
        <w:t>la fixation de la rémunération du Président et des Directeurs Généraux</w:t>
      </w:r>
      <w:r w:rsidR="00040436" w:rsidRPr="00040436">
        <w:rPr>
          <w:rFonts w:ascii="Times New Roman" w:hAnsi="Times New Roman"/>
          <w:sz w:val="24"/>
          <w:szCs w:val="24"/>
          <w:lang w:val="fr-FR"/>
        </w:rPr>
        <w:t xml:space="preserve"> </w:t>
      </w:r>
      <w:r w:rsidRPr="005C56FA">
        <w:rPr>
          <w:rFonts w:ascii="Times New Roman" w:hAnsi="Times New Roman"/>
          <w:sz w:val="24"/>
          <w:szCs w:val="24"/>
          <w:lang w:val="fr-FR"/>
        </w:rPr>
        <w:t>;</w:t>
      </w:r>
    </w:p>
    <w:p w:rsidR="00070C62" w:rsidRDefault="00494DE5" w:rsidP="00494DE5">
      <w:pPr>
        <w:pStyle w:val="alpha3"/>
        <w:spacing w:line="240" w:lineRule="auto"/>
        <w:ind w:left="680"/>
        <w:rPr>
          <w:rFonts w:ascii="Times New Roman" w:hAnsi="Times New Roman"/>
          <w:sz w:val="24"/>
          <w:szCs w:val="24"/>
          <w:lang w:val="fr-FR"/>
        </w:rPr>
      </w:pPr>
      <w:r w:rsidRPr="00494DE5">
        <w:rPr>
          <w:rFonts w:ascii="Times New Roman" w:hAnsi="Times New Roman"/>
          <w:sz w:val="24"/>
          <w:szCs w:val="24"/>
          <w:lang w:val="fr-FR"/>
        </w:rPr>
        <w:t xml:space="preserve">toute modification aux principes d’évaluation et de présentation des comptes sociaux de la Société et ou d’une de ses </w:t>
      </w:r>
      <w:r w:rsidR="007A529C">
        <w:rPr>
          <w:rFonts w:ascii="Times New Roman" w:hAnsi="Times New Roman"/>
          <w:sz w:val="24"/>
          <w:szCs w:val="24"/>
          <w:lang w:val="fr-FR"/>
        </w:rPr>
        <w:t>f</w:t>
      </w:r>
      <w:r w:rsidRPr="00494DE5">
        <w:rPr>
          <w:rFonts w:ascii="Times New Roman" w:hAnsi="Times New Roman"/>
          <w:sz w:val="24"/>
          <w:szCs w:val="24"/>
          <w:lang w:val="fr-FR"/>
        </w:rPr>
        <w:t>iliales</w:t>
      </w:r>
      <w:r w:rsidR="007A529C">
        <w:rPr>
          <w:rFonts w:ascii="Times New Roman" w:hAnsi="Times New Roman"/>
          <w:sz w:val="24"/>
          <w:szCs w:val="24"/>
          <w:lang w:val="fr-FR"/>
        </w:rPr>
        <w:t xml:space="preserve"> autre que résultant d’une disposition légale ou réglementaire impérative</w:t>
      </w:r>
      <w:r w:rsidR="00070C62">
        <w:rPr>
          <w:rFonts w:ascii="Times New Roman" w:hAnsi="Times New Roman"/>
          <w:sz w:val="24"/>
          <w:szCs w:val="24"/>
          <w:lang w:val="fr-FR"/>
        </w:rPr>
        <w:t> ; et</w:t>
      </w:r>
    </w:p>
    <w:p w:rsidR="00494DE5" w:rsidRPr="00070C62" w:rsidRDefault="00070C62" w:rsidP="00070C62">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r w:rsidR="007A529C">
        <w:rPr>
          <w:rFonts w:ascii="Times New Roman" w:hAnsi="Times New Roman"/>
          <w:sz w:val="24"/>
          <w:szCs w:val="24"/>
          <w:lang w:val="fr-FR"/>
        </w:rPr>
        <w:t xml:space="preserve">, </w:t>
      </w:r>
    </w:p>
    <w:p w:rsidR="008955DA" w:rsidRDefault="008955DA" w:rsidP="00FC463D">
      <w:pPr>
        <w:pStyle w:val="alpha3"/>
        <w:numPr>
          <w:ilvl w:val="0"/>
          <w:numId w:val="0"/>
        </w:numPr>
        <w:spacing w:line="240" w:lineRule="auto"/>
        <w:ind w:left="57"/>
        <w:rPr>
          <w:rFonts w:ascii="Times New Roman" w:hAnsi="Times New Roman"/>
          <w:sz w:val="24"/>
          <w:szCs w:val="24"/>
          <w:lang w:val="fr-FR"/>
        </w:rPr>
      </w:pPr>
      <w:r w:rsidRPr="00781352">
        <w:rPr>
          <w:rFonts w:ascii="Times New Roman" w:hAnsi="Times New Roman"/>
          <w:sz w:val="24"/>
          <w:szCs w:val="24"/>
          <w:lang w:val="fr-FR"/>
        </w:rPr>
        <w:t>(</w:t>
      </w:r>
      <w:proofErr w:type="gramStart"/>
      <w:r w:rsidRPr="00781352">
        <w:rPr>
          <w:rFonts w:ascii="Times New Roman" w:hAnsi="Times New Roman"/>
          <w:sz w:val="24"/>
          <w:szCs w:val="24"/>
          <w:lang w:val="fr-FR"/>
        </w:rPr>
        <w:t>ensemble</w:t>
      </w:r>
      <w:proofErr w:type="gramEnd"/>
      <w:r w:rsidRPr="00781352">
        <w:rPr>
          <w:rFonts w:ascii="Times New Roman" w:hAnsi="Times New Roman"/>
          <w:sz w:val="24"/>
          <w:szCs w:val="24"/>
          <w:lang w:val="fr-FR"/>
        </w:rPr>
        <w:t>, les « </w:t>
      </w:r>
      <w:r w:rsidRPr="00781352">
        <w:rPr>
          <w:rFonts w:ascii="Times New Roman" w:hAnsi="Times New Roman"/>
          <w:b/>
          <w:sz w:val="24"/>
          <w:szCs w:val="24"/>
          <w:lang w:val="fr-FR"/>
        </w:rPr>
        <w:t>Décisions Qualifiées</w:t>
      </w:r>
      <w:r w:rsidRPr="00781352">
        <w:rPr>
          <w:rFonts w:ascii="Times New Roman" w:hAnsi="Times New Roman"/>
          <w:sz w:val="24"/>
          <w:szCs w:val="24"/>
          <w:lang w:val="fr-FR"/>
        </w:rPr>
        <w:t> »).</w:t>
      </w:r>
    </w:p>
    <w:p w:rsidR="00363B1A" w:rsidRDefault="00363B1A" w:rsidP="00DD4944">
      <w:pPr>
        <w:tabs>
          <w:tab w:val="left" w:pos="567"/>
          <w:tab w:val="left" w:pos="993"/>
          <w:tab w:val="left" w:pos="1418"/>
          <w:tab w:val="left" w:pos="1843"/>
        </w:tabs>
        <w:jc w:val="both"/>
      </w:pPr>
    </w:p>
    <w:p w:rsidR="0016796D" w:rsidRDefault="00DD4944" w:rsidP="00DD4944">
      <w:pPr>
        <w:tabs>
          <w:tab w:val="left" w:pos="567"/>
          <w:tab w:val="left" w:pos="993"/>
          <w:tab w:val="left" w:pos="1418"/>
          <w:tab w:val="left" w:pos="1843"/>
        </w:tabs>
        <w:jc w:val="both"/>
      </w:pPr>
      <w:r>
        <w:t>Pour les besoins des présents Statuts</w:t>
      </w:r>
      <w:r w:rsidR="0016796D">
        <w:t> :</w:t>
      </w:r>
    </w:p>
    <w:p w:rsidR="0016796D" w:rsidRPr="00CE6D96" w:rsidRDefault="0016796D" w:rsidP="00CE6D96">
      <w:pPr>
        <w:tabs>
          <w:tab w:val="left" w:pos="993"/>
          <w:tab w:val="left" w:pos="1418"/>
          <w:tab w:val="left" w:pos="1843"/>
        </w:tabs>
        <w:jc w:val="both"/>
        <w:rPr>
          <w:b/>
          <w:u w:val="single"/>
        </w:rPr>
      </w:pPr>
    </w:p>
    <w:p w:rsidR="0016796D" w:rsidRDefault="0016796D" w:rsidP="008E06E3">
      <w:pPr>
        <w:pStyle w:val="Paragraphedeliste"/>
        <w:numPr>
          <w:ilvl w:val="0"/>
          <w:numId w:val="32"/>
        </w:numPr>
        <w:tabs>
          <w:tab w:val="left" w:pos="567"/>
          <w:tab w:val="left" w:pos="993"/>
          <w:tab w:val="left" w:pos="1418"/>
          <w:tab w:val="left" w:pos="1843"/>
        </w:tabs>
        <w:ind w:left="360"/>
        <w:jc w:val="both"/>
      </w:pPr>
      <w:r>
        <w:t>les termes « </w:t>
      </w:r>
      <w:r w:rsidRPr="008E06E3">
        <w:rPr>
          <w:b/>
        </w:rPr>
        <w:t>Taux de</w:t>
      </w:r>
      <w:r>
        <w:t xml:space="preserve"> </w:t>
      </w:r>
      <w:r w:rsidRPr="008E06E3">
        <w:rPr>
          <w:b/>
        </w:rPr>
        <w:t xml:space="preserve">Marge </w:t>
      </w:r>
      <w:r w:rsidR="00363B1A">
        <w:rPr>
          <w:b/>
        </w:rPr>
        <w:t>Contributive</w:t>
      </w:r>
      <w:r>
        <w:t> » désignent</w:t>
      </w:r>
      <w:r w:rsidRPr="0016796D">
        <w:t xml:space="preserve"> </w:t>
      </w:r>
      <w:r>
        <w:t xml:space="preserve">le quotient de (i) la différence entre le chiffre d’affaires hors taxes à réaliser au titre d’un contrat de vente de lingots et le montant cumulé des charges </w:t>
      </w:r>
      <w:r w:rsidR="00363B1A">
        <w:t>variables</w:t>
      </w:r>
      <w:r>
        <w:t xml:space="preserve"> </w:t>
      </w:r>
      <w:r w:rsidR="00363B1A">
        <w:t>attribuables</w:t>
      </w:r>
      <w:r>
        <w:t xml:space="preserve"> au même contrat (s’entendant comme </w:t>
      </w:r>
      <w:r>
        <w:lastRenderedPageBreak/>
        <w:t>le cumul des coût</w:t>
      </w:r>
      <w:r w:rsidR="008368B0">
        <w:t>s</w:t>
      </w:r>
      <w:r>
        <w:t xml:space="preserve"> d’achat et de traitement des chutes de titane et des additifs nécessaires à la fabrication des lingots</w:t>
      </w:r>
      <w:r w:rsidR="008368B0">
        <w:t xml:space="preserve"> (tels que les </w:t>
      </w:r>
      <w:r w:rsidR="008368B0" w:rsidRPr="008368B0">
        <w:rPr>
          <w:i/>
        </w:rPr>
        <w:t xml:space="preserve">master </w:t>
      </w:r>
      <w:proofErr w:type="spellStart"/>
      <w:r w:rsidR="008368B0" w:rsidRPr="008368B0">
        <w:rPr>
          <w:i/>
        </w:rPr>
        <w:t>alloys</w:t>
      </w:r>
      <w:proofErr w:type="spellEnd"/>
      <w:r w:rsidR="008368B0">
        <w:t xml:space="preserve"> et les éponges), </w:t>
      </w:r>
      <w:r w:rsidR="00363B1A">
        <w:t xml:space="preserve">les frais de personnel (dont le personnel intérimaire), les consommables, les frais de maintenance, les frais de bureau d’étude, les frais énergétiques et les frais variables auxiliaires (conditionnement, logistique) </w:t>
      </w:r>
      <w:r w:rsidR="0083105E">
        <w:t>sur</w:t>
      </w:r>
      <w:r>
        <w:t xml:space="preserve"> (ii) le montant dudit chiffre d’affaires hors taxes</w:t>
      </w:r>
      <w:r w:rsidR="0083105E">
        <w:t xml:space="preserve"> </w:t>
      </w:r>
      <w:r>
        <w:t>;</w:t>
      </w:r>
      <w:r w:rsidR="00363B1A">
        <w:t xml:space="preserve"> et</w:t>
      </w:r>
    </w:p>
    <w:p w:rsidR="0016796D" w:rsidRDefault="0016796D" w:rsidP="008E06E3">
      <w:pPr>
        <w:tabs>
          <w:tab w:val="left" w:pos="567"/>
          <w:tab w:val="left" w:pos="993"/>
          <w:tab w:val="left" w:pos="1418"/>
          <w:tab w:val="left" w:pos="1843"/>
        </w:tabs>
        <w:jc w:val="both"/>
      </w:pPr>
    </w:p>
    <w:p w:rsidR="00DD4944" w:rsidRDefault="00DD4944" w:rsidP="008E06E3">
      <w:pPr>
        <w:pStyle w:val="Paragraphedeliste"/>
        <w:numPr>
          <w:ilvl w:val="0"/>
          <w:numId w:val="32"/>
        </w:numPr>
        <w:tabs>
          <w:tab w:val="left" w:pos="567"/>
          <w:tab w:val="left" w:pos="993"/>
          <w:tab w:val="left" w:pos="1418"/>
          <w:tab w:val="left" w:pos="1843"/>
        </w:tabs>
        <w:ind w:left="360"/>
        <w:jc w:val="both"/>
      </w:pPr>
      <w:r>
        <w:t>les termes « </w:t>
      </w:r>
      <w:r w:rsidRPr="008E06E3">
        <w:rPr>
          <w:b/>
        </w:rPr>
        <w:t xml:space="preserve">Marge </w:t>
      </w:r>
      <w:r w:rsidR="00363B1A">
        <w:rPr>
          <w:b/>
        </w:rPr>
        <w:t>Contributive Budgétée</w:t>
      </w:r>
      <w:r>
        <w:t> » désignent</w:t>
      </w:r>
      <w:r w:rsidR="00363B1A">
        <w:t>, au titre d’un exercice donné,</w:t>
      </w:r>
      <w:r>
        <w:t xml:space="preserve"> l’objectif de </w:t>
      </w:r>
      <w:r w:rsidR="0016796D">
        <w:t>Taux de M</w:t>
      </w:r>
      <w:r>
        <w:t xml:space="preserve">arge </w:t>
      </w:r>
      <w:r w:rsidR="00363B1A">
        <w:t>Contributive</w:t>
      </w:r>
      <w:r w:rsidR="0016796D">
        <w:t xml:space="preserve"> </w:t>
      </w:r>
      <w:r w:rsidR="008E06E3">
        <w:t>visé par la Société lors de la négociation de ses contrats de vente de lingots</w:t>
      </w:r>
      <w:r w:rsidR="00363B1A">
        <w:t xml:space="preserve"> lors dudit exercice</w:t>
      </w:r>
      <w:r w:rsidR="008E06E3">
        <w:t xml:space="preserve">, tel que cet objectif sera </w:t>
      </w:r>
      <w:r w:rsidR="00906B28">
        <w:t xml:space="preserve">annuellement </w:t>
      </w:r>
      <w:r w:rsidR="008E06E3">
        <w:t>fixé pa</w:t>
      </w:r>
      <w:r w:rsidR="00363B1A">
        <w:t>r le Comité de Surveillance.</w:t>
      </w:r>
    </w:p>
    <w:p w:rsidR="00CE6D96" w:rsidRDefault="00CE6D96" w:rsidP="00CE6D96">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0F1B82" w:rsidRPr="00FF24FC" w:rsidRDefault="000F1B82" w:rsidP="00DA627C">
      <w:pPr>
        <w:tabs>
          <w:tab w:val="left" w:pos="993"/>
          <w:tab w:val="left" w:pos="1418"/>
          <w:tab w:val="left" w:pos="1843"/>
        </w:tabs>
        <w:jc w:val="both"/>
        <w:rPr>
          <w:b/>
          <w:u w:val="single"/>
        </w:rPr>
      </w:pPr>
    </w:p>
    <w:p w:rsidR="002C6EED" w:rsidRDefault="002C6EE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0" w:name="JVHIT_48"/>
      <w:bookmarkEnd w:id="20"/>
      <w:r w:rsidRPr="00D12B3C">
        <w:rPr>
          <w:bCs/>
        </w:rPr>
        <w:t>sa</w:t>
      </w:r>
      <w:r w:rsidRPr="00D12B3C">
        <w:t> décision ainsi que l'identité de son nouveau représentant permanent. Il en est de même en cas de décès ou de démission du représentant permanent.</w:t>
      </w:r>
    </w:p>
    <w:p w:rsidR="00C96413" w:rsidRPr="00D12B3C" w:rsidRDefault="00C96413" w:rsidP="00D2634C">
      <w:pPr>
        <w:jc w:val="both"/>
      </w:pPr>
    </w:p>
    <w:p w:rsidR="00D2634C" w:rsidRDefault="00D2634C" w:rsidP="00D2634C">
      <w:pPr>
        <w:jc w:val="both"/>
      </w:pPr>
      <w:r w:rsidRPr="00D12B3C">
        <w:lastRenderedPageBreak/>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1" w:name="_DV_M256"/>
      <w:bookmarkStart w:id="22" w:name="_DV_M257"/>
      <w:bookmarkStart w:id="23" w:name="_DV_M263"/>
      <w:bookmarkStart w:id="24" w:name="_DV_M264"/>
      <w:bookmarkStart w:id="25" w:name="_Toc115691491"/>
      <w:bookmarkEnd w:id="21"/>
      <w:bookmarkEnd w:id="22"/>
      <w:bookmarkEnd w:id="23"/>
      <w:bookmarkEnd w:id="24"/>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6" w:name="_DV_M265"/>
      <w:bookmarkEnd w:id="25"/>
      <w:bookmarkEnd w:id="26"/>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7" w:name="_DV_M266"/>
      <w:bookmarkEnd w:id="27"/>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w:t>
      </w:r>
      <w:r w:rsidR="002B444B">
        <w:lastRenderedPageBreak/>
        <w:t>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037F12" w:rsidRDefault="00037F12" w:rsidP="00037F12">
      <w:pPr>
        <w:widowControl w:val="0"/>
        <w:autoSpaceDE w:val="0"/>
        <w:autoSpaceDN w:val="0"/>
        <w:adjustRightInd w:val="0"/>
        <w:spacing w:before="120"/>
        <w:jc w:val="both"/>
      </w:pPr>
      <w:r w:rsidRPr="00194D47">
        <w:t xml:space="preserve">Chacun des membres du </w:t>
      </w:r>
      <w:r>
        <w:t>Comité de Surveillance dispose</w:t>
      </w:r>
      <w:r w:rsidRPr="00194D47">
        <w:t xml:space="preserve"> d’une voix délibérative. En cas d’égalité des voix, celle du président</w:t>
      </w:r>
      <w:r>
        <w:t xml:space="preserve"> du Comité</w:t>
      </w:r>
      <w:r w:rsidRPr="00B96F9D">
        <w:t xml:space="preserve"> de Surveillance</w:t>
      </w:r>
      <w:r w:rsidRPr="00194D47">
        <w:t xml:space="preserve"> </w:t>
      </w:r>
      <w:r>
        <w:t>n’est pas</w:t>
      </w:r>
      <w:r w:rsidRPr="00194D47">
        <w:t xml:space="preserve"> prépondérante.</w:t>
      </w:r>
    </w:p>
    <w:p w:rsidR="00037F12" w:rsidRDefault="00037F12" w:rsidP="00B762CD">
      <w:pPr>
        <w:widowControl w:val="0"/>
        <w:tabs>
          <w:tab w:val="num" w:pos="426"/>
        </w:tabs>
        <w:autoSpaceDE w:val="0"/>
        <w:autoSpaceDN w:val="0"/>
        <w:jc w:val="both"/>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r w:rsidR="00037F12">
        <w:t>Toutefois, d</w:t>
      </w:r>
      <w:r w:rsidR="00CE1879">
        <w:t xml:space="preserve">ans l’hypothèse où le Comité de Surveillance n’aurait pu valablement statuer sur une Décision Qualifiée en raison de l’absence de représentants de l’ADEME, le Comité de Surveillance sera convoqué une nouvelle fois dans un délai de 15 </w:t>
      </w:r>
      <w:r w:rsidR="00037F12">
        <w:t xml:space="preserve">(quinze) </w:t>
      </w:r>
      <w:r w:rsidR="00CE1879">
        <w:t>jours sur le même ordre du jour ; si, lors de cette seconde réunion, aucun représentant de l’ADEME n’est</w:t>
      </w:r>
      <w:r w:rsidR="00037F12">
        <w:t xml:space="preserve"> à nouveau</w:t>
      </w:r>
      <w:r w:rsidR="00CE1879">
        <w:t xml:space="preserve"> présent ou représenté, le Comité de Surveillance pourra adopter toute décision, en ce compris toute Décision Qualifiée,</w:t>
      </w:r>
      <w:r w:rsidR="0083105E">
        <w:t xml:space="preserve"> figurant à l’ordre du jour</w:t>
      </w:r>
      <w:r w:rsidR="00CE1879">
        <w:t xml:space="preserve"> à la majorité simple, nonobstant l’absence de vote favorable d’un représentant de l’ADEME.</w:t>
      </w:r>
    </w:p>
    <w:p w:rsidR="00B762CD" w:rsidRDefault="00B762CD" w:rsidP="00B762CD">
      <w:pPr>
        <w:widowControl w:val="0"/>
        <w:tabs>
          <w:tab w:val="num" w:pos="426"/>
        </w:tabs>
        <w:autoSpaceDE w:val="0"/>
        <w:autoSpaceDN w:val="0"/>
        <w:jc w:val="both"/>
      </w:pPr>
    </w:p>
    <w:p w:rsidR="00B762CD"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CE1879">
        <w:t xml:space="preserve"> (sans préjudice toutefois des stipulations du paragraphe précédent)</w:t>
      </w:r>
      <w:r w:rsidR="008955DA">
        <w:t>.</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363B1A" w:rsidRDefault="00363B1A"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3A45AF" w:rsidRPr="00260C7B" w:rsidRDefault="00AF1E7F" w:rsidP="00940936">
      <w:pPr>
        <w:keepNext/>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940936">
      <w:pPr>
        <w:keepNext/>
        <w:jc w:val="both"/>
      </w:pPr>
    </w:p>
    <w:p w:rsidR="00005C19" w:rsidRDefault="00940F06" w:rsidP="00940936">
      <w:pPr>
        <w:keepNext/>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2F05DA" w:rsidRDefault="002F05DA" w:rsidP="00DA627C">
      <w:pPr>
        <w:jc w:val="both"/>
      </w:pPr>
    </w:p>
    <w:p w:rsidR="002F05DA" w:rsidRDefault="002F05DA" w:rsidP="00DA627C">
      <w:pPr>
        <w:jc w:val="both"/>
      </w:pPr>
    </w:p>
    <w:p w:rsidR="002F05DA" w:rsidRDefault="002F05DA" w:rsidP="00DA627C">
      <w:pPr>
        <w:jc w:val="both"/>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8" w:name="I4E3FCFF95F332D72"/>
      <w:bookmarkEnd w:id="13"/>
      <w:bookmarkEnd w:id="28"/>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29" w:name="I4E3FCFF95F332D71"/>
      <w:bookmarkEnd w:id="29"/>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333490" w:rsidRDefault="008B7E03" w:rsidP="007A529C">
      <w:pPr>
        <w:pStyle w:val="Paragraphedeliste"/>
        <w:numPr>
          <w:ilvl w:val="0"/>
          <w:numId w:val="9"/>
        </w:numPr>
        <w:jc w:val="both"/>
      </w:pPr>
      <w:r>
        <w:t>nomination et révocation des membres du Comité de Surveillance ;</w:t>
      </w:r>
    </w:p>
    <w:p w:rsidR="002F05DA" w:rsidRDefault="002F05DA" w:rsidP="007A529C">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363B1A" w:rsidRDefault="00363B1A" w:rsidP="00391BB5">
      <w:pPr>
        <w:jc w:val="both"/>
      </w:pPr>
    </w:p>
    <w:p w:rsidR="00363B1A" w:rsidRDefault="00363B1A"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7E3627" w:rsidRDefault="002E7C9B" w:rsidP="00D63C81">
      <w:pPr>
        <w:pStyle w:val="Paragraphedeliste"/>
        <w:numPr>
          <w:ilvl w:val="0"/>
          <w:numId w:val="9"/>
        </w:numPr>
        <w:jc w:val="both"/>
      </w:pPr>
      <w:r>
        <w:t>nomination</w:t>
      </w:r>
      <w:r w:rsidR="008B7E03">
        <w:t xml:space="preserve"> et révocation du Président </w:t>
      </w:r>
      <w:r w:rsidR="009404EF">
        <w:t>de la Société</w:t>
      </w:r>
      <w:r w:rsidR="002F05DA">
        <w:t xml:space="preserve"> </w:t>
      </w:r>
      <w:r w:rsidR="009404EF">
        <w:t>;</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r w:rsidR="000F1B82">
        <w:t xml:space="preserve"> et</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3A45AF" w:rsidRPr="00260C7B" w:rsidRDefault="00AF1E7F" w:rsidP="00940936">
      <w:pPr>
        <w:keepNext/>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0" w:name="I4E3FCFF95F332D76"/>
      <w:bookmarkEnd w:id="30"/>
    </w:p>
    <w:p w:rsidR="003A45AF" w:rsidRPr="00260C7B" w:rsidRDefault="003A45AF" w:rsidP="00940936">
      <w:pPr>
        <w:keepNext/>
      </w:pPr>
    </w:p>
    <w:p w:rsidR="003A45AF" w:rsidRPr="00D57030" w:rsidRDefault="008B7E03" w:rsidP="00940936">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363B1A" w:rsidRDefault="00363B1A" w:rsidP="00D844F4">
      <w:pPr>
        <w:tabs>
          <w:tab w:val="left" w:pos="567"/>
          <w:tab w:val="left" w:pos="993"/>
          <w:tab w:val="left" w:pos="1418"/>
          <w:tab w:val="left" w:pos="1843"/>
        </w:tabs>
        <w:jc w:val="both"/>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63B1A" w:rsidRDefault="00363B1A" w:rsidP="00DA627C">
      <w:pPr>
        <w:tabs>
          <w:tab w:val="left" w:pos="567"/>
          <w:tab w:val="left" w:pos="993"/>
          <w:tab w:val="left" w:pos="1418"/>
          <w:tab w:val="left" w:pos="1843"/>
        </w:tabs>
        <w:rPr>
          <w:b/>
        </w:rPr>
      </w:pPr>
    </w:p>
    <w:p w:rsidR="00363B1A" w:rsidRDefault="00363B1A" w:rsidP="00DA627C">
      <w:pPr>
        <w:tabs>
          <w:tab w:val="left" w:pos="567"/>
          <w:tab w:val="left" w:pos="993"/>
          <w:tab w:val="left" w:pos="1418"/>
          <w:tab w:val="left" w:pos="1843"/>
        </w:tabs>
        <w:rPr>
          <w:b/>
        </w:rPr>
      </w:pPr>
    </w:p>
    <w:p w:rsidR="00363B1A" w:rsidRDefault="00363B1A"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1" w:name="I4E3FCFF95F332D77"/>
      <w:bookmarkStart w:id="32" w:name="I4E3FCFF95F332D7B"/>
      <w:bookmarkEnd w:id="31"/>
      <w:bookmarkEnd w:id="32"/>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3" w:name="I4E3FCFF95F332D7C"/>
      <w:bookmarkEnd w:id="33"/>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4" w:name="I4E3FCFF95F332D7D"/>
      <w:bookmarkEnd w:id="34"/>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lastRenderedPageBreak/>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C96413" w:rsidRDefault="00C9641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35" w:name="I4E3FCFF95F332D7E"/>
      <w:bookmarkEnd w:id="35"/>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0C713D" w:rsidRDefault="000C713D"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Default="00AF0863" w:rsidP="00DA627C">
      <w:pPr>
        <w:jc w:val="both"/>
      </w:pPr>
    </w:p>
    <w:p w:rsidR="00363B1A" w:rsidRDefault="00363B1A" w:rsidP="00DA627C">
      <w:pPr>
        <w:jc w:val="both"/>
      </w:pPr>
    </w:p>
    <w:p w:rsidR="00363B1A" w:rsidRDefault="00363B1A" w:rsidP="00DA627C">
      <w:pPr>
        <w:jc w:val="both"/>
      </w:pPr>
    </w:p>
    <w:p w:rsidR="00363B1A" w:rsidRDefault="00363B1A" w:rsidP="00DA627C">
      <w:pPr>
        <w:jc w:val="both"/>
      </w:pPr>
    </w:p>
    <w:p w:rsidR="00363B1A" w:rsidRDefault="00363B1A" w:rsidP="00DA627C">
      <w:pPr>
        <w:jc w:val="both"/>
      </w:pPr>
    </w:p>
    <w:p w:rsidR="00363B1A" w:rsidRPr="00260C7B" w:rsidRDefault="00363B1A"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36" w:name="I4E3FCFF95F332D7F"/>
      <w:bookmarkEnd w:id="36"/>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37" w:name="I4E3FCFF95F332D80"/>
      <w:bookmarkEnd w:id="37"/>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C96413">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38" w:name="I4E3FCFF95F332D81"/>
      <w:bookmarkStart w:id="39" w:name="I4E3FCFF95F332D83"/>
      <w:bookmarkEnd w:id="38"/>
      <w:bookmarkEnd w:id="39"/>
    </w:p>
    <w:p w:rsidR="000350AD" w:rsidRPr="00260C7B" w:rsidRDefault="000350AD" w:rsidP="00DA627C"/>
    <w:p w:rsidR="00AF0863" w:rsidRPr="00260C7B" w:rsidRDefault="00AF1E7F" w:rsidP="00940936">
      <w:pPr>
        <w:keepNext/>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0" w:name="I4E3FCFF95F332D84"/>
      <w:bookmarkEnd w:id="40"/>
      <w:r w:rsidR="00AF0863" w:rsidRPr="00260C7B">
        <w:rPr>
          <w:b/>
          <w:u w:val="single"/>
        </w:rPr>
        <w:t>Affectation et répartition des résultats</w:t>
      </w:r>
    </w:p>
    <w:p w:rsidR="00AF0863" w:rsidRPr="00260C7B" w:rsidRDefault="00AF0863" w:rsidP="00940936">
      <w:pPr>
        <w:keepNext/>
        <w:jc w:val="both"/>
        <w:rPr>
          <w:b/>
        </w:rPr>
      </w:pPr>
    </w:p>
    <w:p w:rsidR="00AF0863" w:rsidRDefault="00AF0863" w:rsidP="00940936">
      <w:pPr>
        <w:keepNext/>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lastRenderedPageBreak/>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6A32C6" w:rsidRDefault="006A32C6" w:rsidP="00DA627C">
      <w:pPr>
        <w:jc w:val="both"/>
      </w:pPr>
    </w:p>
    <w:p w:rsidR="006A32C6" w:rsidRDefault="006A32C6" w:rsidP="00DA627C">
      <w:pPr>
        <w:jc w:val="both"/>
      </w:pPr>
    </w:p>
    <w:p w:rsidR="00363B1A" w:rsidRDefault="00363B1A" w:rsidP="00DA627C">
      <w:pPr>
        <w:jc w:val="both"/>
      </w:pPr>
    </w:p>
    <w:p w:rsidR="00363B1A" w:rsidRDefault="00363B1A" w:rsidP="00DA627C">
      <w:pPr>
        <w:jc w:val="both"/>
      </w:pPr>
    </w:p>
    <w:p w:rsidR="00363B1A" w:rsidRDefault="00363B1A" w:rsidP="00DA627C">
      <w:pPr>
        <w:jc w:val="both"/>
      </w:pPr>
    </w:p>
    <w:p w:rsidR="00363B1A" w:rsidRDefault="00363B1A" w:rsidP="00DA627C">
      <w:pPr>
        <w:jc w:val="both"/>
      </w:pPr>
    </w:p>
    <w:p w:rsidR="00363B1A" w:rsidRDefault="00363B1A" w:rsidP="00DA627C">
      <w:pPr>
        <w:jc w:val="both"/>
      </w:pPr>
    </w:p>
    <w:p w:rsidR="00C2687C" w:rsidRPr="00260C7B" w:rsidRDefault="00C2687C" w:rsidP="00DA627C">
      <w:pPr>
        <w:jc w:val="center"/>
        <w:rPr>
          <w:b/>
        </w:rPr>
      </w:pPr>
      <w:bookmarkStart w:id="41" w:name="I4E3FCFF95F332D85"/>
      <w:bookmarkStart w:id="42" w:name="_GoBack"/>
      <w:bookmarkEnd w:id="41"/>
      <w:bookmarkEnd w:id="42"/>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0F1B82" w:rsidRDefault="00FC316B" w:rsidP="00C96413">
      <w:pPr>
        <w:jc w:val="both"/>
        <w:rPr>
          <w:b/>
          <w:spacing w:val="-3"/>
        </w:rPr>
      </w:pPr>
      <w:r>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6A32C6" w:rsidRDefault="006A32C6" w:rsidP="00DA627C">
      <w:pPr>
        <w:keepNext/>
        <w:jc w:val="center"/>
        <w:rPr>
          <w:b/>
          <w:spacing w:val="-3"/>
        </w:rPr>
      </w:pPr>
    </w:p>
    <w:p w:rsidR="006A32C6" w:rsidRDefault="006A32C6" w:rsidP="00DA627C">
      <w:pPr>
        <w:keepNext/>
        <w:jc w:val="center"/>
        <w:rPr>
          <w:b/>
          <w:spacing w:val="-3"/>
        </w:rPr>
      </w:pPr>
    </w:p>
    <w:p w:rsidR="00B22F4F" w:rsidRDefault="00B22F4F" w:rsidP="00DA627C">
      <w:pPr>
        <w:keepNext/>
        <w:jc w:val="center"/>
        <w:rPr>
          <w:b/>
          <w:spacing w:val="-3"/>
        </w:rPr>
      </w:pPr>
    </w:p>
    <w:p w:rsidR="00B22F4F" w:rsidRDefault="00B22F4F" w:rsidP="00DA627C">
      <w:pPr>
        <w:keepNext/>
        <w:jc w:val="center"/>
        <w:rPr>
          <w:b/>
          <w:spacing w:val="-3"/>
        </w:rPr>
      </w:pPr>
    </w:p>
    <w:p w:rsidR="00C96413" w:rsidRDefault="00C96413" w:rsidP="00DA627C">
      <w:pPr>
        <w:keepNext/>
        <w:jc w:val="center"/>
        <w:rPr>
          <w:b/>
          <w:spacing w:val="-3"/>
        </w:rPr>
      </w:pPr>
    </w:p>
    <w:p w:rsidR="00A76F5D" w:rsidRDefault="000F1B82" w:rsidP="000F1B82">
      <w:pPr>
        <w:jc w:val="center"/>
        <w:rPr>
          <w:b/>
          <w:spacing w:val="-3"/>
        </w:rPr>
      </w:pPr>
      <w:r>
        <w:rPr>
          <w:b/>
          <w:spacing w:val="-3"/>
        </w:rPr>
        <w:t xml:space="preserve">*    </w:t>
      </w:r>
      <w:r w:rsidR="00C96413">
        <w:rPr>
          <w:b/>
          <w:spacing w:val="-3"/>
        </w:rPr>
        <w:t xml:space="preserve"> </w:t>
      </w:r>
      <w:r>
        <w:rPr>
          <w:b/>
          <w:spacing w:val="-3"/>
        </w:rPr>
        <w:t xml:space="preserve">     </w:t>
      </w:r>
      <w:r w:rsidR="00C96413">
        <w:rPr>
          <w:b/>
          <w:spacing w:val="-3"/>
        </w:rPr>
        <w:t>*</w:t>
      </w:r>
      <w:r>
        <w:rPr>
          <w:b/>
          <w:spacing w:val="-3"/>
        </w:rPr>
        <w:t xml:space="preserve">         *</w:t>
      </w:r>
    </w:p>
    <w:sectPr w:rsidR="00A76F5D"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0F1" w:rsidRDefault="009930F1">
      <w:r>
        <w:separator/>
      </w:r>
    </w:p>
  </w:endnote>
  <w:endnote w:type="continuationSeparator" w:id="0">
    <w:p w:rsidR="009930F1" w:rsidRDefault="0099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19" w:rsidRDefault="0025100E" w:rsidP="00E16153">
    <w:pPr>
      <w:pStyle w:val="Pieddepage"/>
      <w:framePr w:wrap="around" w:vAnchor="text" w:hAnchor="margin" w:xAlign="center" w:y="1"/>
      <w:rPr>
        <w:rStyle w:val="Numrodepage"/>
      </w:rPr>
    </w:pPr>
    <w:r>
      <w:rPr>
        <w:rStyle w:val="Numrodepage"/>
      </w:rPr>
      <w:fldChar w:fldCharType="begin"/>
    </w:r>
    <w:r w:rsidR="00F92319">
      <w:rPr>
        <w:rStyle w:val="Numrodepage"/>
      </w:rPr>
      <w:instrText xml:space="preserve">PAGE  </w:instrText>
    </w:r>
    <w:r>
      <w:rPr>
        <w:rStyle w:val="Numrodepage"/>
      </w:rPr>
      <w:fldChar w:fldCharType="separate"/>
    </w:r>
    <w:r w:rsidR="00F92319">
      <w:rPr>
        <w:rStyle w:val="Numrodepage"/>
        <w:noProof/>
      </w:rPr>
      <w:t>1</w:t>
    </w:r>
    <w:r>
      <w:rPr>
        <w:rStyle w:val="Numrodepage"/>
      </w:rPr>
      <w:fldChar w:fldCharType="end"/>
    </w:r>
  </w:p>
  <w:p w:rsidR="00F92319" w:rsidRDefault="00F923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EndPr/>
    <w:sdtContent>
      <w:p w:rsidR="00F92319" w:rsidRDefault="0025100E">
        <w:pPr>
          <w:pStyle w:val="Pieddepage"/>
          <w:jc w:val="center"/>
        </w:pPr>
        <w:r w:rsidRPr="00B2440E">
          <w:rPr>
            <w:sz w:val="20"/>
            <w:szCs w:val="20"/>
          </w:rPr>
          <w:fldChar w:fldCharType="begin"/>
        </w:r>
        <w:r w:rsidR="00F92319" w:rsidRPr="00B2440E">
          <w:rPr>
            <w:sz w:val="20"/>
            <w:szCs w:val="20"/>
          </w:rPr>
          <w:instrText>PAGE   \* MERGEFORMAT</w:instrText>
        </w:r>
        <w:r w:rsidRPr="00B2440E">
          <w:rPr>
            <w:sz w:val="20"/>
            <w:szCs w:val="20"/>
          </w:rPr>
          <w:fldChar w:fldCharType="separate"/>
        </w:r>
        <w:r w:rsidR="00942E3B">
          <w:rPr>
            <w:noProof/>
            <w:sz w:val="20"/>
            <w:szCs w:val="20"/>
          </w:rPr>
          <w:t>24</w:t>
        </w:r>
        <w:r w:rsidRPr="00B2440E">
          <w:rPr>
            <w:sz w:val="20"/>
            <w:szCs w:val="20"/>
          </w:rPr>
          <w:fldChar w:fldCharType="end"/>
        </w:r>
      </w:p>
    </w:sdtContent>
  </w:sdt>
  <w:p w:rsidR="00F92319" w:rsidRDefault="00F92319"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0F1" w:rsidRDefault="009930F1">
      <w:r>
        <w:separator/>
      </w:r>
    </w:p>
  </w:footnote>
  <w:footnote w:type="continuationSeparator" w:id="0">
    <w:p w:rsidR="009930F1" w:rsidRDefault="0099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19" w:rsidRPr="00915CCC" w:rsidRDefault="00942E3B" w:rsidP="00FA74F8">
    <w:pPr>
      <w:pStyle w:val="En-tte"/>
      <w:jc w:val="right"/>
      <w:rPr>
        <w:i/>
        <w:sz w:val="20"/>
        <w:szCs w:val="20"/>
      </w:rPr>
    </w:pPr>
    <w:r>
      <w:rPr>
        <w:i/>
        <w:sz w:val="20"/>
        <w:szCs w:val="20"/>
      </w:rPr>
      <w:t>Projet du 11</w:t>
    </w:r>
    <w:r w:rsidR="00067BC6">
      <w:rPr>
        <w:i/>
        <w:sz w:val="20"/>
        <w:szCs w:val="20"/>
      </w:rPr>
      <w:t xml:space="preserve"> avril</w:t>
    </w:r>
    <w:r w:rsidR="00F92319">
      <w:rPr>
        <w:i/>
        <w:sz w:val="20"/>
        <w:szCs w:val="20"/>
      </w:rPr>
      <w:t xml:space="preserve"> 2014</w:t>
    </w:r>
  </w:p>
  <w:p w:rsidR="00F92319" w:rsidRDefault="00F92319"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C48E4"/>
    <w:multiLevelType w:val="hybridMultilevel"/>
    <w:tmpl w:val="C784A33A"/>
    <w:lvl w:ilvl="0" w:tplc="DAE0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6">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883694"/>
    <w:multiLevelType w:val="hybridMultilevel"/>
    <w:tmpl w:val="FD4264A0"/>
    <w:lvl w:ilvl="0" w:tplc="274A9BE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5">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6">
    <w:nsid w:val="6B7837B5"/>
    <w:multiLevelType w:val="hybridMultilevel"/>
    <w:tmpl w:val="D1C02E7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1"/>
  </w:num>
  <w:num w:numId="5">
    <w:abstractNumId w:val="4"/>
  </w:num>
  <w:num w:numId="6">
    <w:abstractNumId w:val="4"/>
    <w:lvlOverride w:ilvl="0">
      <w:startOverride w:val="1"/>
    </w:lvlOverride>
  </w:num>
  <w:num w:numId="7">
    <w:abstractNumId w:val="9"/>
  </w:num>
  <w:num w:numId="8">
    <w:abstractNumId w:val="7"/>
  </w:num>
  <w:num w:numId="9">
    <w:abstractNumId w:val="10"/>
  </w:num>
  <w:num w:numId="10">
    <w:abstractNumId w:val="15"/>
  </w:num>
  <w:num w:numId="11">
    <w:abstractNumId w:val="8"/>
  </w:num>
  <w:num w:numId="12">
    <w:abstractNumId w:val="5"/>
  </w:num>
  <w:num w:numId="13">
    <w:abstractNumId w:val="14"/>
  </w:num>
  <w:num w:numId="14">
    <w:abstractNumId w:val="4"/>
    <w:lvlOverride w:ilvl="0">
      <w:startOverride w:val="1"/>
    </w:lvlOverride>
  </w:num>
  <w:num w:numId="15">
    <w:abstractNumId w:val="4"/>
  </w:num>
  <w:num w:numId="16">
    <w:abstractNumId w:val="4"/>
  </w:num>
  <w:num w:numId="17">
    <w:abstractNumId w:val="4"/>
  </w:num>
  <w:num w:numId="18">
    <w:abstractNumId w:val="4"/>
    <w:lvlOverride w:ilvl="0">
      <w:startOverride w:val="1"/>
    </w:lvlOverride>
  </w:num>
  <w:num w:numId="19">
    <w:abstractNumId w:val="12"/>
  </w:num>
  <w:num w:numId="20">
    <w:abstractNumId w:val="13"/>
  </w:num>
  <w:num w:numId="21">
    <w:abstractNumId w:val="17"/>
  </w:num>
  <w:num w:numId="22">
    <w:abstractNumId w:val="18"/>
  </w:num>
  <w:num w:numId="23">
    <w:abstractNumId w:val="16"/>
  </w:num>
  <w:num w:numId="24">
    <w:abstractNumId w:val="3"/>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B71"/>
    <w:rsid w:val="00005C19"/>
    <w:rsid w:val="00006C18"/>
    <w:rsid w:val="000072B9"/>
    <w:rsid w:val="00007D42"/>
    <w:rsid w:val="00013511"/>
    <w:rsid w:val="00013BD9"/>
    <w:rsid w:val="00015408"/>
    <w:rsid w:val="000157C1"/>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37F12"/>
    <w:rsid w:val="00040436"/>
    <w:rsid w:val="000445B1"/>
    <w:rsid w:val="0004677E"/>
    <w:rsid w:val="0005417F"/>
    <w:rsid w:val="00054389"/>
    <w:rsid w:val="000558DC"/>
    <w:rsid w:val="00055E29"/>
    <w:rsid w:val="000646CA"/>
    <w:rsid w:val="000661B4"/>
    <w:rsid w:val="00066CBE"/>
    <w:rsid w:val="00067BC6"/>
    <w:rsid w:val="00067D02"/>
    <w:rsid w:val="00070C62"/>
    <w:rsid w:val="0007225A"/>
    <w:rsid w:val="000723CC"/>
    <w:rsid w:val="00074BC5"/>
    <w:rsid w:val="00077176"/>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63FB"/>
    <w:rsid w:val="000C713D"/>
    <w:rsid w:val="000C78D9"/>
    <w:rsid w:val="000D44A9"/>
    <w:rsid w:val="000D5902"/>
    <w:rsid w:val="000D5CC4"/>
    <w:rsid w:val="000E12D5"/>
    <w:rsid w:val="000E52DD"/>
    <w:rsid w:val="000E7219"/>
    <w:rsid w:val="000E774A"/>
    <w:rsid w:val="000E7BD1"/>
    <w:rsid w:val="000F09CF"/>
    <w:rsid w:val="000F1B82"/>
    <w:rsid w:val="000F45D5"/>
    <w:rsid w:val="000F4B95"/>
    <w:rsid w:val="0010441C"/>
    <w:rsid w:val="00104CD4"/>
    <w:rsid w:val="00110E76"/>
    <w:rsid w:val="00113041"/>
    <w:rsid w:val="00115E3D"/>
    <w:rsid w:val="00116B37"/>
    <w:rsid w:val="00122B17"/>
    <w:rsid w:val="0012416B"/>
    <w:rsid w:val="001259FF"/>
    <w:rsid w:val="00127E7D"/>
    <w:rsid w:val="00132ECD"/>
    <w:rsid w:val="00134591"/>
    <w:rsid w:val="00137A94"/>
    <w:rsid w:val="0014058F"/>
    <w:rsid w:val="001434AE"/>
    <w:rsid w:val="00143BE2"/>
    <w:rsid w:val="0014457E"/>
    <w:rsid w:val="001450D9"/>
    <w:rsid w:val="00145F4F"/>
    <w:rsid w:val="001465B9"/>
    <w:rsid w:val="00146DCE"/>
    <w:rsid w:val="001518E0"/>
    <w:rsid w:val="001545EF"/>
    <w:rsid w:val="0015763E"/>
    <w:rsid w:val="0016576A"/>
    <w:rsid w:val="0016796D"/>
    <w:rsid w:val="00170531"/>
    <w:rsid w:val="001706BA"/>
    <w:rsid w:val="00171FB9"/>
    <w:rsid w:val="00172AB8"/>
    <w:rsid w:val="0017383A"/>
    <w:rsid w:val="001766C0"/>
    <w:rsid w:val="001800CF"/>
    <w:rsid w:val="001872A6"/>
    <w:rsid w:val="0019226B"/>
    <w:rsid w:val="00193AD9"/>
    <w:rsid w:val="00194CF8"/>
    <w:rsid w:val="00194D47"/>
    <w:rsid w:val="001965EB"/>
    <w:rsid w:val="00197CF8"/>
    <w:rsid w:val="001A21BF"/>
    <w:rsid w:val="001A2F12"/>
    <w:rsid w:val="001A5673"/>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354"/>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100E"/>
    <w:rsid w:val="0025220E"/>
    <w:rsid w:val="00252ED0"/>
    <w:rsid w:val="00253DAD"/>
    <w:rsid w:val="00256DDD"/>
    <w:rsid w:val="00260506"/>
    <w:rsid w:val="00260C7B"/>
    <w:rsid w:val="00261B18"/>
    <w:rsid w:val="00264167"/>
    <w:rsid w:val="00265011"/>
    <w:rsid w:val="002652B6"/>
    <w:rsid w:val="00265CF2"/>
    <w:rsid w:val="0026770B"/>
    <w:rsid w:val="00267B46"/>
    <w:rsid w:val="0027016D"/>
    <w:rsid w:val="0027188C"/>
    <w:rsid w:val="00271BE1"/>
    <w:rsid w:val="00271E9D"/>
    <w:rsid w:val="00271FEF"/>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1C16"/>
    <w:rsid w:val="002D7E48"/>
    <w:rsid w:val="002E0E11"/>
    <w:rsid w:val="002E7C9B"/>
    <w:rsid w:val="002E7E2C"/>
    <w:rsid w:val="002F05DA"/>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15B2A"/>
    <w:rsid w:val="00320110"/>
    <w:rsid w:val="003208DC"/>
    <w:rsid w:val="003249DF"/>
    <w:rsid w:val="00324E6D"/>
    <w:rsid w:val="003257EC"/>
    <w:rsid w:val="00325F78"/>
    <w:rsid w:val="00326F93"/>
    <w:rsid w:val="00332FA1"/>
    <w:rsid w:val="00333490"/>
    <w:rsid w:val="0033652F"/>
    <w:rsid w:val="00337479"/>
    <w:rsid w:val="0033755F"/>
    <w:rsid w:val="00337814"/>
    <w:rsid w:val="00337967"/>
    <w:rsid w:val="00340878"/>
    <w:rsid w:val="00340F93"/>
    <w:rsid w:val="00341206"/>
    <w:rsid w:val="0034135B"/>
    <w:rsid w:val="00341AF3"/>
    <w:rsid w:val="00343251"/>
    <w:rsid w:val="00344985"/>
    <w:rsid w:val="003522C9"/>
    <w:rsid w:val="0035389B"/>
    <w:rsid w:val="00355B22"/>
    <w:rsid w:val="00356291"/>
    <w:rsid w:val="00356693"/>
    <w:rsid w:val="00356F3F"/>
    <w:rsid w:val="003628CD"/>
    <w:rsid w:val="003637CC"/>
    <w:rsid w:val="00363B1A"/>
    <w:rsid w:val="0036406F"/>
    <w:rsid w:val="003640AC"/>
    <w:rsid w:val="00370E96"/>
    <w:rsid w:val="00372877"/>
    <w:rsid w:val="0037541E"/>
    <w:rsid w:val="0037707B"/>
    <w:rsid w:val="00382040"/>
    <w:rsid w:val="003826AE"/>
    <w:rsid w:val="00387481"/>
    <w:rsid w:val="00387725"/>
    <w:rsid w:val="00391789"/>
    <w:rsid w:val="00391BB5"/>
    <w:rsid w:val="00391CED"/>
    <w:rsid w:val="003930CB"/>
    <w:rsid w:val="003935D3"/>
    <w:rsid w:val="003961D0"/>
    <w:rsid w:val="003962C1"/>
    <w:rsid w:val="003A2E5D"/>
    <w:rsid w:val="003A45AF"/>
    <w:rsid w:val="003A6192"/>
    <w:rsid w:val="003B1B00"/>
    <w:rsid w:val="003B2668"/>
    <w:rsid w:val="003B2F42"/>
    <w:rsid w:val="003B4AD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4F81"/>
    <w:rsid w:val="0041543D"/>
    <w:rsid w:val="0041585B"/>
    <w:rsid w:val="004172A7"/>
    <w:rsid w:val="00417A63"/>
    <w:rsid w:val="00417E6B"/>
    <w:rsid w:val="00420316"/>
    <w:rsid w:val="00420695"/>
    <w:rsid w:val="00421E4C"/>
    <w:rsid w:val="004234E6"/>
    <w:rsid w:val="00423EC5"/>
    <w:rsid w:val="00424E88"/>
    <w:rsid w:val="00425E75"/>
    <w:rsid w:val="004271BC"/>
    <w:rsid w:val="00427277"/>
    <w:rsid w:val="004305F7"/>
    <w:rsid w:val="004323B0"/>
    <w:rsid w:val="004341B4"/>
    <w:rsid w:val="00434F03"/>
    <w:rsid w:val="0043707B"/>
    <w:rsid w:val="00437D6F"/>
    <w:rsid w:val="00440F8B"/>
    <w:rsid w:val="004414DA"/>
    <w:rsid w:val="00441D41"/>
    <w:rsid w:val="00444CF9"/>
    <w:rsid w:val="00445762"/>
    <w:rsid w:val="00445A81"/>
    <w:rsid w:val="004461D0"/>
    <w:rsid w:val="00446434"/>
    <w:rsid w:val="00446A0E"/>
    <w:rsid w:val="004472CB"/>
    <w:rsid w:val="00451AAC"/>
    <w:rsid w:val="00462E74"/>
    <w:rsid w:val="00463540"/>
    <w:rsid w:val="00467446"/>
    <w:rsid w:val="00472627"/>
    <w:rsid w:val="004749CF"/>
    <w:rsid w:val="00476BAB"/>
    <w:rsid w:val="00476FF2"/>
    <w:rsid w:val="004802C9"/>
    <w:rsid w:val="00480FC8"/>
    <w:rsid w:val="004816BF"/>
    <w:rsid w:val="00483291"/>
    <w:rsid w:val="00487CC9"/>
    <w:rsid w:val="004912BF"/>
    <w:rsid w:val="00492198"/>
    <w:rsid w:val="0049355C"/>
    <w:rsid w:val="0049381D"/>
    <w:rsid w:val="00494A89"/>
    <w:rsid w:val="00494DE5"/>
    <w:rsid w:val="004956B8"/>
    <w:rsid w:val="004968FE"/>
    <w:rsid w:val="004A01D2"/>
    <w:rsid w:val="004A236B"/>
    <w:rsid w:val="004A45E5"/>
    <w:rsid w:val="004A6E04"/>
    <w:rsid w:val="004B0951"/>
    <w:rsid w:val="004B109D"/>
    <w:rsid w:val="004B4090"/>
    <w:rsid w:val="004B6758"/>
    <w:rsid w:val="004B6AAB"/>
    <w:rsid w:val="004B6FD6"/>
    <w:rsid w:val="004C1014"/>
    <w:rsid w:val="004C200E"/>
    <w:rsid w:val="004C26E5"/>
    <w:rsid w:val="004C547A"/>
    <w:rsid w:val="004D470C"/>
    <w:rsid w:val="004D56EC"/>
    <w:rsid w:val="004E0343"/>
    <w:rsid w:val="004E08AC"/>
    <w:rsid w:val="004E621D"/>
    <w:rsid w:val="004E63B8"/>
    <w:rsid w:val="004F20DD"/>
    <w:rsid w:val="004F238F"/>
    <w:rsid w:val="004F6447"/>
    <w:rsid w:val="004F69F5"/>
    <w:rsid w:val="00501CB4"/>
    <w:rsid w:val="00501E5C"/>
    <w:rsid w:val="0050335B"/>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9774E"/>
    <w:rsid w:val="005A0F58"/>
    <w:rsid w:val="005A32F3"/>
    <w:rsid w:val="005A3BAA"/>
    <w:rsid w:val="005A6165"/>
    <w:rsid w:val="005A6739"/>
    <w:rsid w:val="005A7190"/>
    <w:rsid w:val="005B0A42"/>
    <w:rsid w:val="005B2D46"/>
    <w:rsid w:val="005B2F27"/>
    <w:rsid w:val="005B482E"/>
    <w:rsid w:val="005B5CA1"/>
    <w:rsid w:val="005B5FC7"/>
    <w:rsid w:val="005B6BDF"/>
    <w:rsid w:val="005C56FA"/>
    <w:rsid w:val="005C6E46"/>
    <w:rsid w:val="005C7160"/>
    <w:rsid w:val="005C7C04"/>
    <w:rsid w:val="005D1632"/>
    <w:rsid w:val="005D2160"/>
    <w:rsid w:val="005D4C99"/>
    <w:rsid w:val="005D5AFB"/>
    <w:rsid w:val="005D7020"/>
    <w:rsid w:val="005E3E6F"/>
    <w:rsid w:val="005E525E"/>
    <w:rsid w:val="005E5E76"/>
    <w:rsid w:val="005E6308"/>
    <w:rsid w:val="005E6C46"/>
    <w:rsid w:val="005F10A9"/>
    <w:rsid w:val="005F124F"/>
    <w:rsid w:val="005F2C0C"/>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35C6"/>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77FBD"/>
    <w:rsid w:val="00684271"/>
    <w:rsid w:val="00690A8E"/>
    <w:rsid w:val="006936E6"/>
    <w:rsid w:val="00694DA5"/>
    <w:rsid w:val="00695798"/>
    <w:rsid w:val="006A179B"/>
    <w:rsid w:val="006A2493"/>
    <w:rsid w:val="006A3265"/>
    <w:rsid w:val="006A32C6"/>
    <w:rsid w:val="006A3A3A"/>
    <w:rsid w:val="006A5468"/>
    <w:rsid w:val="006A61EA"/>
    <w:rsid w:val="006A6F23"/>
    <w:rsid w:val="006A747B"/>
    <w:rsid w:val="006B164E"/>
    <w:rsid w:val="006B3F1D"/>
    <w:rsid w:val="006B7098"/>
    <w:rsid w:val="006B7220"/>
    <w:rsid w:val="006B7A5D"/>
    <w:rsid w:val="006C13E7"/>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4E5"/>
    <w:rsid w:val="006F3762"/>
    <w:rsid w:val="00700056"/>
    <w:rsid w:val="00704464"/>
    <w:rsid w:val="007079F7"/>
    <w:rsid w:val="00707C79"/>
    <w:rsid w:val="00710062"/>
    <w:rsid w:val="007124D6"/>
    <w:rsid w:val="00712F7B"/>
    <w:rsid w:val="007131F4"/>
    <w:rsid w:val="00714854"/>
    <w:rsid w:val="00715A5A"/>
    <w:rsid w:val="00721152"/>
    <w:rsid w:val="007229BF"/>
    <w:rsid w:val="0072342B"/>
    <w:rsid w:val="007243D2"/>
    <w:rsid w:val="00725901"/>
    <w:rsid w:val="007270DE"/>
    <w:rsid w:val="00731B16"/>
    <w:rsid w:val="007332DA"/>
    <w:rsid w:val="007339CB"/>
    <w:rsid w:val="00743022"/>
    <w:rsid w:val="00745CB4"/>
    <w:rsid w:val="00746A83"/>
    <w:rsid w:val="00747290"/>
    <w:rsid w:val="00747CB7"/>
    <w:rsid w:val="007544F9"/>
    <w:rsid w:val="00756C94"/>
    <w:rsid w:val="00760251"/>
    <w:rsid w:val="007614E7"/>
    <w:rsid w:val="00765B5A"/>
    <w:rsid w:val="00766D4B"/>
    <w:rsid w:val="00767126"/>
    <w:rsid w:val="00770C41"/>
    <w:rsid w:val="007714B0"/>
    <w:rsid w:val="007728B5"/>
    <w:rsid w:val="00774BB4"/>
    <w:rsid w:val="007751A5"/>
    <w:rsid w:val="00777F0D"/>
    <w:rsid w:val="00781352"/>
    <w:rsid w:val="00781DBA"/>
    <w:rsid w:val="00781F41"/>
    <w:rsid w:val="007828CF"/>
    <w:rsid w:val="007849EF"/>
    <w:rsid w:val="00784B9C"/>
    <w:rsid w:val="00792430"/>
    <w:rsid w:val="007925D8"/>
    <w:rsid w:val="0079277F"/>
    <w:rsid w:val="00792DF2"/>
    <w:rsid w:val="00794926"/>
    <w:rsid w:val="00794DCD"/>
    <w:rsid w:val="007957B9"/>
    <w:rsid w:val="007A4722"/>
    <w:rsid w:val="007A529C"/>
    <w:rsid w:val="007A69D8"/>
    <w:rsid w:val="007A7A40"/>
    <w:rsid w:val="007A7F12"/>
    <w:rsid w:val="007B1E9F"/>
    <w:rsid w:val="007B4B4A"/>
    <w:rsid w:val="007C1401"/>
    <w:rsid w:val="007C309D"/>
    <w:rsid w:val="007C6081"/>
    <w:rsid w:val="007C7986"/>
    <w:rsid w:val="007D02EF"/>
    <w:rsid w:val="007D0BAF"/>
    <w:rsid w:val="007D309B"/>
    <w:rsid w:val="007D4360"/>
    <w:rsid w:val="007D5099"/>
    <w:rsid w:val="007E3627"/>
    <w:rsid w:val="007E37D7"/>
    <w:rsid w:val="007E4092"/>
    <w:rsid w:val="007E4DA7"/>
    <w:rsid w:val="007E7968"/>
    <w:rsid w:val="007F3F98"/>
    <w:rsid w:val="007F561D"/>
    <w:rsid w:val="007F5747"/>
    <w:rsid w:val="007F5ED2"/>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01B"/>
    <w:rsid w:val="008228CE"/>
    <w:rsid w:val="00823BEA"/>
    <w:rsid w:val="0082435A"/>
    <w:rsid w:val="00824B58"/>
    <w:rsid w:val="00826B36"/>
    <w:rsid w:val="00826C85"/>
    <w:rsid w:val="00827534"/>
    <w:rsid w:val="0083105E"/>
    <w:rsid w:val="00831EAC"/>
    <w:rsid w:val="008321C2"/>
    <w:rsid w:val="00832B1C"/>
    <w:rsid w:val="0083450B"/>
    <w:rsid w:val="008368B0"/>
    <w:rsid w:val="008416CA"/>
    <w:rsid w:val="00843562"/>
    <w:rsid w:val="008440B7"/>
    <w:rsid w:val="008470E9"/>
    <w:rsid w:val="0085205C"/>
    <w:rsid w:val="00853969"/>
    <w:rsid w:val="008547D9"/>
    <w:rsid w:val="00856906"/>
    <w:rsid w:val="008570E8"/>
    <w:rsid w:val="008572D3"/>
    <w:rsid w:val="0086081D"/>
    <w:rsid w:val="008611A5"/>
    <w:rsid w:val="008627A1"/>
    <w:rsid w:val="00863411"/>
    <w:rsid w:val="008640EB"/>
    <w:rsid w:val="00864153"/>
    <w:rsid w:val="0086481B"/>
    <w:rsid w:val="00866BAB"/>
    <w:rsid w:val="00873075"/>
    <w:rsid w:val="008742FB"/>
    <w:rsid w:val="00874A23"/>
    <w:rsid w:val="00882409"/>
    <w:rsid w:val="00886D1F"/>
    <w:rsid w:val="00891513"/>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421E"/>
    <w:rsid w:val="008D5FA2"/>
    <w:rsid w:val="008D7F89"/>
    <w:rsid w:val="008E06E3"/>
    <w:rsid w:val="008E0936"/>
    <w:rsid w:val="008E18E3"/>
    <w:rsid w:val="008E2C93"/>
    <w:rsid w:val="008E5FDA"/>
    <w:rsid w:val="008E6581"/>
    <w:rsid w:val="008E6D9C"/>
    <w:rsid w:val="008F2282"/>
    <w:rsid w:val="008F4FD0"/>
    <w:rsid w:val="008F63BA"/>
    <w:rsid w:val="00903818"/>
    <w:rsid w:val="009045C1"/>
    <w:rsid w:val="00906B28"/>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936"/>
    <w:rsid w:val="00940F06"/>
    <w:rsid w:val="00942E3B"/>
    <w:rsid w:val="009443E9"/>
    <w:rsid w:val="00945619"/>
    <w:rsid w:val="0094661F"/>
    <w:rsid w:val="00946BA7"/>
    <w:rsid w:val="00946BFB"/>
    <w:rsid w:val="009514C4"/>
    <w:rsid w:val="0095154D"/>
    <w:rsid w:val="00954999"/>
    <w:rsid w:val="00955A8A"/>
    <w:rsid w:val="00962133"/>
    <w:rsid w:val="0096248D"/>
    <w:rsid w:val="00967786"/>
    <w:rsid w:val="009708AF"/>
    <w:rsid w:val="00977CF4"/>
    <w:rsid w:val="00980996"/>
    <w:rsid w:val="00981C01"/>
    <w:rsid w:val="0099164E"/>
    <w:rsid w:val="0099308D"/>
    <w:rsid w:val="009930F1"/>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2B"/>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4A5F"/>
    <w:rsid w:val="00A14EED"/>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A38"/>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0D67"/>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50D3"/>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2F4F"/>
    <w:rsid w:val="00B241B1"/>
    <w:rsid w:val="00B2437B"/>
    <w:rsid w:val="00B2440E"/>
    <w:rsid w:val="00B2588A"/>
    <w:rsid w:val="00B27056"/>
    <w:rsid w:val="00B31CAE"/>
    <w:rsid w:val="00B335E8"/>
    <w:rsid w:val="00B34B99"/>
    <w:rsid w:val="00B37125"/>
    <w:rsid w:val="00B401CD"/>
    <w:rsid w:val="00B463A0"/>
    <w:rsid w:val="00B472B7"/>
    <w:rsid w:val="00B52477"/>
    <w:rsid w:val="00B54202"/>
    <w:rsid w:val="00B60616"/>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0694"/>
    <w:rsid w:val="00B9110C"/>
    <w:rsid w:val="00B917EA"/>
    <w:rsid w:val="00B918ED"/>
    <w:rsid w:val="00B92C5F"/>
    <w:rsid w:val="00B967D4"/>
    <w:rsid w:val="00B9758F"/>
    <w:rsid w:val="00BA0619"/>
    <w:rsid w:val="00BA3205"/>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3D3B"/>
    <w:rsid w:val="00BE5E01"/>
    <w:rsid w:val="00BE7C81"/>
    <w:rsid w:val="00BF1557"/>
    <w:rsid w:val="00BF2019"/>
    <w:rsid w:val="00BF2705"/>
    <w:rsid w:val="00BF47D6"/>
    <w:rsid w:val="00BF5289"/>
    <w:rsid w:val="00BF5555"/>
    <w:rsid w:val="00BF61F4"/>
    <w:rsid w:val="00C0126A"/>
    <w:rsid w:val="00C01433"/>
    <w:rsid w:val="00C0143D"/>
    <w:rsid w:val="00C0245E"/>
    <w:rsid w:val="00C10055"/>
    <w:rsid w:val="00C13A9D"/>
    <w:rsid w:val="00C15695"/>
    <w:rsid w:val="00C163C2"/>
    <w:rsid w:val="00C21012"/>
    <w:rsid w:val="00C22B67"/>
    <w:rsid w:val="00C25CBC"/>
    <w:rsid w:val="00C2687C"/>
    <w:rsid w:val="00C375CC"/>
    <w:rsid w:val="00C4006E"/>
    <w:rsid w:val="00C409FA"/>
    <w:rsid w:val="00C40C34"/>
    <w:rsid w:val="00C40D42"/>
    <w:rsid w:val="00C41043"/>
    <w:rsid w:val="00C444C2"/>
    <w:rsid w:val="00C4474C"/>
    <w:rsid w:val="00C44DC9"/>
    <w:rsid w:val="00C45BC1"/>
    <w:rsid w:val="00C46988"/>
    <w:rsid w:val="00C47921"/>
    <w:rsid w:val="00C54DB6"/>
    <w:rsid w:val="00C6055C"/>
    <w:rsid w:val="00C60735"/>
    <w:rsid w:val="00C61939"/>
    <w:rsid w:val="00C64042"/>
    <w:rsid w:val="00C64BD3"/>
    <w:rsid w:val="00C736AE"/>
    <w:rsid w:val="00C740EF"/>
    <w:rsid w:val="00C75781"/>
    <w:rsid w:val="00C7702D"/>
    <w:rsid w:val="00C8036E"/>
    <w:rsid w:val="00C8196F"/>
    <w:rsid w:val="00C821C7"/>
    <w:rsid w:val="00C82359"/>
    <w:rsid w:val="00C84382"/>
    <w:rsid w:val="00C93C1C"/>
    <w:rsid w:val="00C96413"/>
    <w:rsid w:val="00C96756"/>
    <w:rsid w:val="00CA049F"/>
    <w:rsid w:val="00CA1018"/>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C76AB"/>
    <w:rsid w:val="00CD0D9C"/>
    <w:rsid w:val="00CD3A10"/>
    <w:rsid w:val="00CD3C80"/>
    <w:rsid w:val="00CD7222"/>
    <w:rsid w:val="00CD76E6"/>
    <w:rsid w:val="00CE14F6"/>
    <w:rsid w:val="00CE1879"/>
    <w:rsid w:val="00CE4451"/>
    <w:rsid w:val="00CE5142"/>
    <w:rsid w:val="00CE6919"/>
    <w:rsid w:val="00CE6D96"/>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3C81"/>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49D6"/>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0C6"/>
    <w:rsid w:val="00DD3175"/>
    <w:rsid w:val="00DD442B"/>
    <w:rsid w:val="00DD4944"/>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6D4E"/>
    <w:rsid w:val="00E074D3"/>
    <w:rsid w:val="00E07768"/>
    <w:rsid w:val="00E10494"/>
    <w:rsid w:val="00E124CC"/>
    <w:rsid w:val="00E144BD"/>
    <w:rsid w:val="00E15D8A"/>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6CB1"/>
    <w:rsid w:val="00E472C9"/>
    <w:rsid w:val="00E52CCE"/>
    <w:rsid w:val="00E535E8"/>
    <w:rsid w:val="00E54377"/>
    <w:rsid w:val="00E62D4A"/>
    <w:rsid w:val="00E62E5A"/>
    <w:rsid w:val="00E638D0"/>
    <w:rsid w:val="00E66B40"/>
    <w:rsid w:val="00E72BF6"/>
    <w:rsid w:val="00E72C56"/>
    <w:rsid w:val="00E749DF"/>
    <w:rsid w:val="00E74DCC"/>
    <w:rsid w:val="00E75907"/>
    <w:rsid w:val="00E80133"/>
    <w:rsid w:val="00E83346"/>
    <w:rsid w:val="00E8385F"/>
    <w:rsid w:val="00E851C7"/>
    <w:rsid w:val="00E863F2"/>
    <w:rsid w:val="00E90292"/>
    <w:rsid w:val="00E9188D"/>
    <w:rsid w:val="00E93DE7"/>
    <w:rsid w:val="00E9463C"/>
    <w:rsid w:val="00E94AF6"/>
    <w:rsid w:val="00E951AA"/>
    <w:rsid w:val="00E964C9"/>
    <w:rsid w:val="00E96D1A"/>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EF6938"/>
    <w:rsid w:val="00F002E3"/>
    <w:rsid w:val="00F00A57"/>
    <w:rsid w:val="00F01C93"/>
    <w:rsid w:val="00F0214E"/>
    <w:rsid w:val="00F04B2A"/>
    <w:rsid w:val="00F0688B"/>
    <w:rsid w:val="00F107F8"/>
    <w:rsid w:val="00F1092C"/>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100"/>
    <w:rsid w:val="00F644C3"/>
    <w:rsid w:val="00F6563B"/>
    <w:rsid w:val="00F66B4A"/>
    <w:rsid w:val="00F702DE"/>
    <w:rsid w:val="00F708CE"/>
    <w:rsid w:val="00F71DCF"/>
    <w:rsid w:val="00F73245"/>
    <w:rsid w:val="00F735B1"/>
    <w:rsid w:val="00F744B6"/>
    <w:rsid w:val="00F8196E"/>
    <w:rsid w:val="00F82CD4"/>
    <w:rsid w:val="00F82F83"/>
    <w:rsid w:val="00F84078"/>
    <w:rsid w:val="00F84569"/>
    <w:rsid w:val="00F84D59"/>
    <w:rsid w:val="00F91287"/>
    <w:rsid w:val="00F92319"/>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696D"/>
    <w:rsid w:val="00FD7605"/>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9BE2-FB79-4095-9730-DD83A5BE6ABD}">
  <ds:schemaRefs>
    <ds:schemaRef ds:uri="http://schemas.openxmlformats.org/officeDocument/2006/bibliography"/>
  </ds:schemaRefs>
</ds:datastoreItem>
</file>

<file path=customXml/itemProps2.xml><?xml version="1.0" encoding="utf-8"?>
<ds:datastoreItem xmlns:ds="http://schemas.openxmlformats.org/officeDocument/2006/customXml" ds:itemID="{A4E99F5B-3988-4035-8049-F7AF7B05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8536</Words>
  <Characters>48659</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57081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2014-04-11T08:15:00Z</dcterms:created>
  <dcterms:modified xsi:type="dcterms:W3CDTF">2014-04-11T08:27:00Z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