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C0" w:rsidRPr="005A37E7" w:rsidRDefault="007B57C0" w:rsidP="008A2E63">
      <w:pPr>
        <w:spacing w:after="200"/>
        <w:jc w:val="center"/>
        <w:rPr>
          <w:rFonts w:ascii="Arial" w:hAnsi="Arial" w:cs="Arial"/>
          <w:b/>
          <w:u w:val="single"/>
        </w:rPr>
      </w:pPr>
      <w:r w:rsidRPr="005A37E7">
        <w:rPr>
          <w:rFonts w:ascii="Arial" w:hAnsi="Arial" w:cs="Arial"/>
          <w:b/>
          <w:u w:val="single"/>
        </w:rPr>
        <w:t>Principaux termes du pacte et des statuts d’Ecotitanium</w:t>
      </w:r>
    </w:p>
    <w:p w:rsidR="007B57C0" w:rsidRPr="005A37E7" w:rsidRDefault="007B57C0" w:rsidP="007B57C0">
      <w:pPr>
        <w:pStyle w:val="Paragraphedeliste"/>
        <w:spacing w:after="200"/>
        <w:ind w:left="1080"/>
        <w:jc w:val="left"/>
        <w:rPr>
          <w:rFonts w:ascii="Arial" w:hAnsi="Arial" w:cs="Arial"/>
          <w:b/>
        </w:rPr>
      </w:pPr>
      <w:r w:rsidRPr="005A37E7">
        <w:rPr>
          <w:rFonts w:ascii="Arial" w:hAnsi="Arial" w:cs="Arial"/>
          <w:b/>
        </w:rPr>
        <w:t xml:space="preserve"> </w:t>
      </w:r>
    </w:p>
    <w:tbl>
      <w:tblPr>
        <w:tblStyle w:val="Grilledutableau"/>
        <w:tblW w:w="0" w:type="auto"/>
        <w:tblLook w:val="04A0" w:firstRow="1" w:lastRow="0" w:firstColumn="1" w:lastColumn="0" w:noHBand="0" w:noVBand="1"/>
      </w:tblPr>
      <w:tblGrid>
        <w:gridCol w:w="4582"/>
        <w:gridCol w:w="4582"/>
        <w:gridCol w:w="4582"/>
      </w:tblGrid>
      <w:tr w:rsidR="007B57C0" w:rsidRPr="005A37E7" w:rsidTr="00FB3257">
        <w:trPr>
          <w:tblHeader/>
        </w:trPr>
        <w:tc>
          <w:tcPr>
            <w:tcW w:w="4582" w:type="dxa"/>
            <w:tcBorders>
              <w:bottom w:val="single" w:sz="4" w:space="0" w:color="auto"/>
            </w:tcBorders>
          </w:tcPr>
          <w:p w:rsidR="007B57C0" w:rsidRPr="005A37E7" w:rsidRDefault="007B57C0" w:rsidP="007B57C0">
            <w:pPr>
              <w:jc w:val="center"/>
            </w:pPr>
          </w:p>
        </w:tc>
        <w:tc>
          <w:tcPr>
            <w:tcW w:w="4582" w:type="dxa"/>
            <w:tcBorders>
              <w:bottom w:val="single" w:sz="4" w:space="0" w:color="auto"/>
            </w:tcBorders>
            <w:shd w:val="clear" w:color="auto" w:fill="8DB3E2" w:themeFill="text2" w:themeFillTint="66"/>
          </w:tcPr>
          <w:p w:rsidR="007B57C0" w:rsidRPr="005A37E7" w:rsidRDefault="007B57C0" w:rsidP="007B57C0">
            <w:pPr>
              <w:jc w:val="center"/>
              <w:rPr>
                <w:b/>
              </w:rPr>
            </w:pPr>
          </w:p>
          <w:p w:rsidR="007B57C0" w:rsidRPr="005A37E7" w:rsidRDefault="007B57C0" w:rsidP="007B57C0">
            <w:pPr>
              <w:jc w:val="center"/>
              <w:rPr>
                <w:b/>
              </w:rPr>
            </w:pPr>
            <w:r w:rsidRPr="005A37E7">
              <w:rPr>
                <w:b/>
              </w:rPr>
              <w:t>Proposition Aubert &amp; Duval</w:t>
            </w:r>
          </w:p>
        </w:tc>
        <w:tc>
          <w:tcPr>
            <w:tcW w:w="4582" w:type="dxa"/>
            <w:tcBorders>
              <w:bottom w:val="single" w:sz="4" w:space="0" w:color="auto"/>
            </w:tcBorders>
            <w:shd w:val="clear" w:color="auto" w:fill="8DB3E2" w:themeFill="text2" w:themeFillTint="66"/>
          </w:tcPr>
          <w:p w:rsidR="007B57C0" w:rsidRPr="005A37E7" w:rsidRDefault="007B57C0" w:rsidP="007B57C0">
            <w:pPr>
              <w:jc w:val="center"/>
              <w:rPr>
                <w:b/>
              </w:rPr>
            </w:pPr>
          </w:p>
          <w:p w:rsidR="007B57C0" w:rsidRPr="005A37E7" w:rsidRDefault="007B57C0" w:rsidP="007B57C0">
            <w:pPr>
              <w:jc w:val="center"/>
              <w:rPr>
                <w:b/>
              </w:rPr>
            </w:pPr>
            <w:r w:rsidRPr="005A37E7">
              <w:rPr>
                <w:b/>
              </w:rPr>
              <w:t>Proposition et commentaires ADEME</w:t>
            </w:r>
          </w:p>
        </w:tc>
      </w:tr>
      <w:tr w:rsidR="007B57C0" w:rsidRPr="005A37E7" w:rsidTr="00FB3257">
        <w:tc>
          <w:tcPr>
            <w:tcW w:w="13746" w:type="dxa"/>
            <w:gridSpan w:val="3"/>
            <w:shd w:val="clear" w:color="auto" w:fill="C6D9F1" w:themeFill="text2" w:themeFillTint="33"/>
          </w:tcPr>
          <w:p w:rsidR="007B57C0" w:rsidRPr="005A37E7" w:rsidRDefault="007B57C0" w:rsidP="00B223D9">
            <w:pPr>
              <w:rPr>
                <w:b/>
              </w:rPr>
            </w:pPr>
          </w:p>
          <w:p w:rsidR="007B57C0" w:rsidRPr="005A37E7" w:rsidRDefault="007B57C0" w:rsidP="00B223D9">
            <w:pPr>
              <w:rPr>
                <w:b/>
              </w:rPr>
            </w:pPr>
            <w:r w:rsidRPr="005A37E7">
              <w:rPr>
                <w:b/>
              </w:rPr>
              <w:t xml:space="preserve">Planning et conditions préalables </w:t>
            </w:r>
          </w:p>
        </w:tc>
      </w:tr>
      <w:tr w:rsidR="007B57C0" w:rsidRPr="005A37E7" w:rsidTr="007B57C0">
        <w:tc>
          <w:tcPr>
            <w:tcW w:w="4582" w:type="dxa"/>
          </w:tcPr>
          <w:p w:rsidR="007B57C0" w:rsidRPr="005A37E7" w:rsidRDefault="007B57C0" w:rsidP="00B223D9">
            <w:pPr>
              <w:rPr>
                <w:b/>
              </w:rPr>
            </w:pPr>
            <w:r w:rsidRPr="005A37E7">
              <w:rPr>
                <w:b/>
              </w:rPr>
              <w:t>Accord bancaire</w:t>
            </w:r>
          </w:p>
        </w:tc>
        <w:tc>
          <w:tcPr>
            <w:tcW w:w="4582" w:type="dxa"/>
          </w:tcPr>
          <w:p w:rsidR="007B57C0" w:rsidRPr="005A37E7" w:rsidRDefault="007B57C0" w:rsidP="00B223D9"/>
        </w:tc>
        <w:tc>
          <w:tcPr>
            <w:tcW w:w="4582" w:type="dxa"/>
          </w:tcPr>
          <w:p w:rsidR="00A02265" w:rsidRPr="005A37E7" w:rsidRDefault="00A02265" w:rsidP="00B223D9">
            <w:commentRangeStart w:id="0"/>
            <w:r>
              <w:t>Quel est le planning des discussions sur la structuration bancaire ?</w:t>
            </w:r>
            <w:commentRangeEnd w:id="0"/>
            <w:r w:rsidR="0024415B">
              <w:rPr>
                <w:rStyle w:val="Marquedecommentaire"/>
              </w:rPr>
              <w:commentReference w:id="0"/>
            </w:r>
          </w:p>
        </w:tc>
      </w:tr>
      <w:tr w:rsidR="00A02265" w:rsidRPr="005A37E7" w:rsidTr="007B57C0">
        <w:tc>
          <w:tcPr>
            <w:tcW w:w="4582" w:type="dxa"/>
          </w:tcPr>
          <w:p w:rsidR="00A02265" w:rsidRPr="005A37E7" w:rsidRDefault="00A02265" w:rsidP="00B223D9">
            <w:pPr>
              <w:rPr>
                <w:b/>
              </w:rPr>
            </w:pPr>
            <w:r w:rsidRPr="005A37E7">
              <w:rPr>
                <w:b/>
              </w:rPr>
              <w:t>Obtention des subventions</w:t>
            </w:r>
          </w:p>
        </w:tc>
        <w:tc>
          <w:tcPr>
            <w:tcW w:w="4582" w:type="dxa"/>
          </w:tcPr>
          <w:p w:rsidR="00A02265" w:rsidRPr="005A37E7" w:rsidRDefault="00A02265" w:rsidP="00B223D9"/>
        </w:tc>
        <w:tc>
          <w:tcPr>
            <w:tcW w:w="4582" w:type="dxa"/>
          </w:tcPr>
          <w:p w:rsidR="00A02265" w:rsidRPr="005A37E7" w:rsidRDefault="00A02265" w:rsidP="00A02265">
            <w:commentRangeStart w:id="1"/>
            <w:r>
              <w:t>Quel est le planning d’obtention des subventions ?</w:t>
            </w:r>
            <w:commentRangeEnd w:id="1"/>
            <w:r w:rsidR="0024415B">
              <w:rPr>
                <w:rStyle w:val="Marquedecommentaire"/>
              </w:rPr>
              <w:commentReference w:id="1"/>
            </w:r>
          </w:p>
        </w:tc>
      </w:tr>
      <w:tr w:rsidR="00A02265" w:rsidRPr="005A37E7" w:rsidTr="007B57C0">
        <w:tc>
          <w:tcPr>
            <w:tcW w:w="4582" w:type="dxa"/>
          </w:tcPr>
          <w:p w:rsidR="00A02265" w:rsidRPr="005A37E7" w:rsidRDefault="00A02265" w:rsidP="00B223D9">
            <w:pPr>
              <w:rPr>
                <w:b/>
              </w:rPr>
            </w:pPr>
            <w:r w:rsidRPr="005A37E7">
              <w:rPr>
                <w:b/>
              </w:rPr>
              <w:t>Obtention des autorisations administratives</w:t>
            </w:r>
          </w:p>
        </w:tc>
        <w:tc>
          <w:tcPr>
            <w:tcW w:w="4582" w:type="dxa"/>
          </w:tcPr>
          <w:p w:rsidR="00A02265" w:rsidRPr="005A37E7" w:rsidRDefault="00A02265" w:rsidP="00B223D9"/>
        </w:tc>
        <w:tc>
          <w:tcPr>
            <w:tcW w:w="4582" w:type="dxa"/>
          </w:tcPr>
          <w:p w:rsidR="00A02265" w:rsidRPr="005A37E7" w:rsidRDefault="00A02265" w:rsidP="00A02265">
            <w:commentRangeStart w:id="2"/>
            <w:r>
              <w:t>Quel est le planning des demandes (et obtention) des autorisations administratives ?</w:t>
            </w:r>
            <w:commentRangeEnd w:id="2"/>
            <w:r w:rsidR="0024415B">
              <w:rPr>
                <w:rStyle w:val="Marquedecommentaire"/>
              </w:rPr>
              <w:commentReference w:id="2"/>
            </w:r>
          </w:p>
        </w:tc>
      </w:tr>
      <w:tr w:rsidR="00A02265" w:rsidRPr="005A37E7" w:rsidTr="007B57C0">
        <w:tc>
          <w:tcPr>
            <w:tcW w:w="4582" w:type="dxa"/>
          </w:tcPr>
          <w:p w:rsidR="00A02265" w:rsidRPr="005A37E7" w:rsidRDefault="00A02265" w:rsidP="00B223D9">
            <w:pPr>
              <w:rPr>
                <w:b/>
              </w:rPr>
            </w:pPr>
            <w:r w:rsidRPr="005A37E7">
              <w:rPr>
                <w:b/>
              </w:rPr>
              <w:t>Signature pacte et statuts</w:t>
            </w:r>
          </w:p>
        </w:tc>
        <w:tc>
          <w:tcPr>
            <w:tcW w:w="4582" w:type="dxa"/>
          </w:tcPr>
          <w:p w:rsidR="00A02265" w:rsidRPr="005A37E7" w:rsidRDefault="00A02265" w:rsidP="00B223D9"/>
        </w:tc>
        <w:tc>
          <w:tcPr>
            <w:tcW w:w="4582" w:type="dxa"/>
          </w:tcPr>
          <w:p w:rsidR="00A02265" w:rsidRDefault="00A02265" w:rsidP="00B223D9">
            <w:r w:rsidRPr="005A37E7">
              <w:t>Les contrats d’approvisionnement, de vente, de prestation de services et éventuellement de recherche et développement devront être signés en même temps.</w:t>
            </w:r>
            <w:r>
              <w:t xml:space="preserve"> </w:t>
            </w:r>
          </w:p>
          <w:p w:rsidR="00A02265" w:rsidRPr="005A37E7" w:rsidRDefault="00A02265" w:rsidP="00B223D9">
            <w:commentRangeStart w:id="3"/>
            <w:r>
              <w:t>Quel est le planning concernant les premières versions de ces contrats ?</w:t>
            </w:r>
            <w:commentRangeEnd w:id="3"/>
            <w:r w:rsidR="0024415B">
              <w:rPr>
                <w:rStyle w:val="Marquedecommentaire"/>
              </w:rPr>
              <w:commentReference w:id="3"/>
            </w:r>
          </w:p>
        </w:tc>
      </w:tr>
      <w:tr w:rsidR="00A02265" w:rsidRPr="005A37E7" w:rsidTr="007B57C0">
        <w:tc>
          <w:tcPr>
            <w:tcW w:w="4582" w:type="dxa"/>
          </w:tcPr>
          <w:p w:rsidR="00A02265" w:rsidRPr="005A37E7" w:rsidRDefault="00A02265" w:rsidP="00B223D9">
            <w:pPr>
              <w:rPr>
                <w:b/>
              </w:rPr>
            </w:pPr>
            <w:r w:rsidRPr="005A37E7">
              <w:rPr>
                <w:b/>
              </w:rPr>
              <w:t>Financement activité</w:t>
            </w:r>
          </w:p>
        </w:tc>
        <w:tc>
          <w:tcPr>
            <w:tcW w:w="4582" w:type="dxa"/>
          </w:tcPr>
          <w:p w:rsidR="00A02265" w:rsidRPr="005A37E7" w:rsidRDefault="00A02265" w:rsidP="00FB3257">
            <w:r w:rsidRPr="005A37E7">
              <w:t xml:space="preserve">Le financement de l’activité de la Société sera assuré à parité entre les Parties par le biais de contributions ou par apport en compte courant, le montant et la date d'exigibilité de ces contributions ou de ces apports étant déterminés dans le cadre du budget arrêté par le </w:t>
            </w:r>
            <w:r w:rsidRPr="005A37E7">
              <w:lastRenderedPageBreak/>
              <w:t>Comité de Surveillance.</w:t>
            </w:r>
          </w:p>
          <w:p w:rsidR="00A02265" w:rsidRPr="005A37E7" w:rsidRDefault="00A02265" w:rsidP="00FB3257">
            <w:r w:rsidRPr="005A37E7">
              <w:t>Chaque Partie tiendra une comptabilité précise de ses dépenses engagées.</w:t>
            </w:r>
          </w:p>
        </w:tc>
        <w:tc>
          <w:tcPr>
            <w:tcW w:w="4582" w:type="dxa"/>
          </w:tcPr>
          <w:p w:rsidR="00A02265" w:rsidRPr="005A37E7" w:rsidRDefault="00A02265" w:rsidP="00FB3257">
            <w:commentRangeStart w:id="4"/>
            <w:r w:rsidRPr="005A37E7">
              <w:lastRenderedPageBreak/>
              <w:t>Comment se feront les apports respectifs de 10.000.000 €, 9.500.000 € et 3.500.000</w:t>
            </w:r>
            <w:r>
              <w:t xml:space="preserve"> €</w:t>
            </w:r>
            <w:r w:rsidRPr="005A37E7">
              <w:t xml:space="preserve"> ? En 1 seule fois ?  Par appel de fonds successifs ?</w:t>
            </w:r>
          </w:p>
          <w:p w:rsidR="00A02265" w:rsidRPr="005A37E7" w:rsidRDefault="00A02265" w:rsidP="00FB3257">
            <w:r w:rsidRPr="005A37E7">
              <w:t xml:space="preserve">S’il y a plusieurs appels de fonds, combien sont à prévoir ? quel serait le montant de la première </w:t>
            </w:r>
            <w:r w:rsidRPr="005A37E7">
              <w:lastRenderedPageBreak/>
              <w:t>levée de fonds ?</w:t>
            </w:r>
          </w:p>
          <w:p w:rsidR="00A02265" w:rsidRPr="005A37E7" w:rsidRDefault="00A02265" w:rsidP="00FB3257">
            <w:r w:rsidRPr="005A37E7">
              <w:t>Quelle articulation avec la dette ?</w:t>
            </w:r>
          </w:p>
          <w:p w:rsidR="00A02265" w:rsidRPr="005A37E7" w:rsidRDefault="00A02265" w:rsidP="00FB3257">
            <w:r w:rsidRPr="005A37E7">
              <w:t>Si l’apport de l’ADEME, d’un montant de 9.500.000 €, doit être versé en plusieurs fois, certains justificatifs devront être préalablement fournis à l’ADEME.</w:t>
            </w:r>
            <w:commentRangeEnd w:id="4"/>
            <w:r w:rsidR="00A76AC6">
              <w:rPr>
                <w:rStyle w:val="Marquedecommentaire"/>
              </w:rPr>
              <w:commentReference w:id="4"/>
            </w:r>
          </w:p>
          <w:p w:rsidR="00A02265" w:rsidRPr="005A37E7" w:rsidRDefault="00A02265" w:rsidP="00FB3257">
            <w:commentRangeStart w:id="5"/>
            <w:r w:rsidRPr="005A37E7">
              <w:t xml:space="preserve">A déterminer en temps utile : </w:t>
            </w:r>
            <w:r>
              <w:br/>
            </w:r>
            <w:r w:rsidRPr="005A37E7">
              <w:t>chronologie entre immatriculation de la société /signature/versement des fonds</w:t>
            </w:r>
            <w:r>
              <w:t>.</w:t>
            </w:r>
            <w:commentRangeEnd w:id="5"/>
            <w:r w:rsidR="00A76AC6">
              <w:rPr>
                <w:rStyle w:val="Marquedecommentaire"/>
              </w:rPr>
              <w:commentReference w:id="5"/>
            </w:r>
          </w:p>
        </w:tc>
      </w:tr>
      <w:tr w:rsidR="00A02265" w:rsidRPr="005A37E7" w:rsidTr="007B57C0">
        <w:tc>
          <w:tcPr>
            <w:tcW w:w="4582" w:type="dxa"/>
          </w:tcPr>
          <w:p w:rsidR="00A02265" w:rsidRPr="005A37E7" w:rsidRDefault="00A02265" w:rsidP="00B223D9">
            <w:pPr>
              <w:rPr>
                <w:b/>
              </w:rPr>
            </w:pPr>
            <w:r w:rsidRPr="005A37E7">
              <w:rPr>
                <w:b/>
              </w:rPr>
              <w:lastRenderedPageBreak/>
              <w:t>Besoins de financements complémentaires</w:t>
            </w:r>
          </w:p>
        </w:tc>
        <w:tc>
          <w:tcPr>
            <w:tcW w:w="4582" w:type="dxa"/>
          </w:tcPr>
          <w:p w:rsidR="00A02265" w:rsidRPr="005A37E7" w:rsidRDefault="00A02265" w:rsidP="00B223D9"/>
        </w:tc>
        <w:tc>
          <w:tcPr>
            <w:tcW w:w="4582" w:type="dxa"/>
          </w:tcPr>
          <w:p w:rsidR="00A02265" w:rsidRPr="005A37E7" w:rsidRDefault="00A02265" w:rsidP="00563ED0">
            <w:r w:rsidRPr="005A37E7">
              <w:t>En cas de besoin de financements complémentaires de la Société, les actionnaires s’engagent à financer ce</w:t>
            </w:r>
            <w:r>
              <w:t>ux-ci</w:t>
            </w:r>
            <w:r w:rsidRPr="005A37E7">
              <w:t xml:space="preserve"> par augmentations de capital ou par apports en compte courant. Les obligations d’UKAD à ce titre seront garanties par Aubert et Duval</w:t>
            </w:r>
            <w:commentRangeStart w:id="6"/>
            <w:r w:rsidRPr="005A37E7">
              <w:t>.</w:t>
            </w:r>
            <w:r>
              <w:t xml:space="preserve"> </w:t>
            </w:r>
            <w:r w:rsidRPr="002B4E94">
              <w:rPr>
                <w:highlight w:val="yellow"/>
              </w:rPr>
              <w:t>[modalité à discuter]</w:t>
            </w:r>
            <w:commentRangeEnd w:id="6"/>
            <w:r w:rsidR="00A76AC6">
              <w:rPr>
                <w:rStyle w:val="Marquedecommentaire"/>
              </w:rPr>
              <w:commentReference w:id="6"/>
            </w:r>
          </w:p>
        </w:tc>
      </w:tr>
      <w:tr w:rsidR="00A02265" w:rsidRPr="005A37E7" w:rsidTr="003460BD">
        <w:tc>
          <w:tcPr>
            <w:tcW w:w="4582" w:type="dxa"/>
            <w:tcBorders>
              <w:bottom w:val="single" w:sz="4" w:space="0" w:color="auto"/>
            </w:tcBorders>
          </w:tcPr>
          <w:p w:rsidR="00A02265" w:rsidRPr="005A37E7" w:rsidRDefault="00A02265" w:rsidP="00B223D9">
            <w:pPr>
              <w:rPr>
                <w:b/>
              </w:rPr>
            </w:pPr>
            <w:r w:rsidRPr="005A37E7">
              <w:rPr>
                <w:b/>
              </w:rPr>
              <w:t>Achat four et autres commandes</w:t>
            </w:r>
          </w:p>
        </w:tc>
        <w:tc>
          <w:tcPr>
            <w:tcW w:w="4582" w:type="dxa"/>
            <w:tcBorders>
              <w:bottom w:val="single" w:sz="4" w:space="0" w:color="auto"/>
            </w:tcBorders>
          </w:tcPr>
          <w:p w:rsidR="00A02265" w:rsidRPr="005A37E7" w:rsidRDefault="00A02265" w:rsidP="00B223D9"/>
        </w:tc>
        <w:tc>
          <w:tcPr>
            <w:tcW w:w="4582" w:type="dxa"/>
            <w:tcBorders>
              <w:bottom w:val="single" w:sz="4" w:space="0" w:color="auto"/>
            </w:tcBorders>
          </w:tcPr>
          <w:p w:rsidR="00A02265" w:rsidRPr="005A37E7" w:rsidRDefault="00A02265" w:rsidP="00B223D9">
            <w:commentRangeStart w:id="7"/>
            <w:r>
              <w:t>Quel est le planning d’achat et de décaissement ?</w:t>
            </w:r>
            <w:commentRangeEnd w:id="7"/>
            <w:r w:rsidR="00B25EF6">
              <w:rPr>
                <w:rStyle w:val="Marquedecommentaire"/>
              </w:rPr>
              <w:commentReference w:id="7"/>
            </w:r>
          </w:p>
        </w:tc>
      </w:tr>
      <w:tr w:rsidR="00A02265" w:rsidRPr="005A37E7" w:rsidTr="003460BD">
        <w:tc>
          <w:tcPr>
            <w:tcW w:w="4582" w:type="dxa"/>
            <w:tcBorders>
              <w:bottom w:val="single" w:sz="4" w:space="0" w:color="auto"/>
            </w:tcBorders>
          </w:tcPr>
          <w:p w:rsidR="00A02265" w:rsidRPr="005A37E7" w:rsidRDefault="00A02265" w:rsidP="00B223D9">
            <w:pPr>
              <w:rPr>
                <w:b/>
              </w:rPr>
            </w:pPr>
            <w:r w:rsidRPr="00563ED0">
              <w:rPr>
                <w:b/>
              </w:rPr>
              <w:t>Engagements spécifiques d’UKAD</w:t>
            </w:r>
          </w:p>
        </w:tc>
        <w:tc>
          <w:tcPr>
            <w:tcW w:w="4582" w:type="dxa"/>
            <w:tcBorders>
              <w:bottom w:val="single" w:sz="4" w:space="0" w:color="auto"/>
            </w:tcBorders>
          </w:tcPr>
          <w:p w:rsidR="00A02265" w:rsidRPr="005A37E7" w:rsidRDefault="00A02265" w:rsidP="00B223D9"/>
        </w:tc>
        <w:tc>
          <w:tcPr>
            <w:tcW w:w="4582" w:type="dxa"/>
            <w:tcBorders>
              <w:bottom w:val="single" w:sz="4" w:space="0" w:color="auto"/>
            </w:tcBorders>
          </w:tcPr>
          <w:p w:rsidR="00A02265" w:rsidRDefault="00A02265" w:rsidP="00B223D9">
            <w:r w:rsidRPr="005A37E7">
              <w:t>Répartition des marchés entre UKAD et UKTMP</w:t>
            </w:r>
            <w:r>
              <w:t>.</w:t>
            </w:r>
          </w:p>
          <w:p w:rsidR="00A02265" w:rsidRPr="005A37E7" w:rsidRDefault="00A02265" w:rsidP="00B223D9">
            <w:commentRangeStart w:id="8"/>
            <w:r w:rsidRPr="00A02265">
              <w:rPr>
                <w:highlight w:val="yellow"/>
              </w:rPr>
              <w:t>[forme de l’engagement à discuter]</w:t>
            </w:r>
            <w:commentRangeEnd w:id="8"/>
            <w:r w:rsidR="00B25EF6">
              <w:rPr>
                <w:rStyle w:val="Marquedecommentaire"/>
              </w:rPr>
              <w:commentReference w:id="8"/>
            </w:r>
          </w:p>
        </w:tc>
      </w:tr>
      <w:tr w:rsidR="00A02265" w:rsidRPr="005A37E7" w:rsidTr="003460BD">
        <w:tc>
          <w:tcPr>
            <w:tcW w:w="13746" w:type="dxa"/>
            <w:gridSpan w:val="3"/>
            <w:shd w:val="clear" w:color="auto" w:fill="C6D9F1" w:themeFill="text2" w:themeFillTint="33"/>
          </w:tcPr>
          <w:p w:rsidR="00A02265" w:rsidRPr="005A37E7" w:rsidRDefault="00A02265" w:rsidP="00BB141B">
            <w:pPr>
              <w:keepNext/>
              <w:rPr>
                <w:b/>
              </w:rPr>
            </w:pPr>
          </w:p>
          <w:p w:rsidR="00A02265" w:rsidRPr="005A37E7" w:rsidRDefault="00A02265" w:rsidP="00BB141B">
            <w:pPr>
              <w:keepNext/>
              <w:rPr>
                <w:b/>
              </w:rPr>
            </w:pPr>
            <w:r w:rsidRPr="005A37E7">
              <w:rPr>
                <w:b/>
              </w:rPr>
              <w:t>Description de la société Ecotitanium et de sa  gouvernance</w:t>
            </w:r>
          </w:p>
        </w:tc>
      </w:tr>
      <w:tr w:rsidR="00A02265" w:rsidRPr="005A37E7" w:rsidTr="009E5268">
        <w:tc>
          <w:tcPr>
            <w:tcW w:w="13746" w:type="dxa"/>
            <w:gridSpan w:val="3"/>
          </w:tcPr>
          <w:p w:rsidR="00A02265" w:rsidRPr="005A37E7" w:rsidRDefault="00A02265" w:rsidP="00BB141B">
            <w:pPr>
              <w:keepNext/>
              <w:rPr>
                <w:b/>
              </w:rPr>
            </w:pPr>
          </w:p>
          <w:p w:rsidR="00A02265" w:rsidRPr="005A37E7" w:rsidRDefault="00A02265" w:rsidP="00BB141B">
            <w:pPr>
              <w:keepNext/>
              <w:rPr>
                <w:b/>
                <w:u w:val="single"/>
              </w:rPr>
            </w:pPr>
            <w:r w:rsidRPr="005A37E7">
              <w:rPr>
                <w:b/>
                <w:u w:val="single"/>
              </w:rPr>
              <w:t>Forme d’Ecotitanium</w:t>
            </w:r>
          </w:p>
        </w:tc>
      </w:tr>
      <w:tr w:rsidR="00A02265" w:rsidRPr="005A37E7" w:rsidTr="007B57C0">
        <w:tc>
          <w:tcPr>
            <w:tcW w:w="4582" w:type="dxa"/>
          </w:tcPr>
          <w:p w:rsidR="00A02265" w:rsidRPr="005A37E7" w:rsidRDefault="00A02265" w:rsidP="00BB141B">
            <w:pPr>
              <w:keepNext/>
              <w:rPr>
                <w:b/>
              </w:rPr>
            </w:pPr>
            <w:r w:rsidRPr="005A37E7">
              <w:rPr>
                <w:b/>
              </w:rPr>
              <w:t xml:space="preserve">Associés </w:t>
            </w:r>
          </w:p>
        </w:tc>
        <w:tc>
          <w:tcPr>
            <w:tcW w:w="4582" w:type="dxa"/>
          </w:tcPr>
          <w:p w:rsidR="00A02265" w:rsidRPr="005A37E7" w:rsidRDefault="00A02265" w:rsidP="00BB141B">
            <w:pPr>
              <w:keepNext/>
            </w:pPr>
            <w:r w:rsidRPr="005A37E7">
              <w:t>UKAD (ci-après « UKAD»)</w:t>
            </w:r>
          </w:p>
          <w:p w:rsidR="00A02265" w:rsidRPr="005A37E7" w:rsidRDefault="00A02265" w:rsidP="00BB141B">
            <w:pPr>
              <w:keepNext/>
            </w:pPr>
            <w:r w:rsidRPr="005A37E7">
              <w:t>Agence de l’Environnement et de la Maîtrise de l’Energie (ci-après« ADEME »)</w:t>
            </w:r>
          </w:p>
          <w:p w:rsidR="00A02265" w:rsidRPr="005A37E7" w:rsidRDefault="00A02265" w:rsidP="00BB141B">
            <w:pPr>
              <w:keepNext/>
            </w:pPr>
            <w:r w:rsidRPr="005A37E7">
              <w:t>Crédit Agricole Centre France (ci-après « CA »)</w:t>
            </w:r>
          </w:p>
          <w:p w:rsidR="00A02265" w:rsidRPr="005A37E7" w:rsidRDefault="00A02265" w:rsidP="00BB141B">
            <w:pPr>
              <w:keepNext/>
            </w:pPr>
            <w:r w:rsidRPr="005A37E7">
              <w:t>ci-après dénommées ensemble par « les Parties »</w:t>
            </w:r>
          </w:p>
        </w:tc>
        <w:tc>
          <w:tcPr>
            <w:tcW w:w="4582" w:type="dxa"/>
          </w:tcPr>
          <w:p w:rsidR="00A02265" w:rsidRPr="005A37E7" w:rsidRDefault="00A02265" w:rsidP="00BB141B">
            <w:pPr>
              <w:keepNext/>
            </w:pPr>
            <w:r w:rsidRPr="005A37E7">
              <w:t>UKAD est désigné ci-après « l’Industriel »</w:t>
            </w:r>
          </w:p>
          <w:p w:rsidR="00A02265" w:rsidRPr="005A37E7" w:rsidRDefault="00A02265" w:rsidP="00BB141B">
            <w:pPr>
              <w:keepNext/>
            </w:pPr>
            <w:r w:rsidRPr="005A37E7">
              <w:t>Ajouter après « Agence de l’Environnement et de la Maîtrise de l’Energie » la mention « agissant au nom et pour le compte de l’Etat »</w:t>
            </w:r>
          </w:p>
          <w:p w:rsidR="00A02265" w:rsidRPr="005A37E7" w:rsidRDefault="00A02265" w:rsidP="00BB141B">
            <w:pPr>
              <w:keepNext/>
            </w:pPr>
            <w:r w:rsidRPr="005A37E7">
              <w:t>L’ADEME et le Crédit Agricole Centre France sont désignés ensemble « les Investisseurs Financiers »</w:t>
            </w:r>
          </w:p>
        </w:tc>
      </w:tr>
      <w:tr w:rsidR="00A02265" w:rsidRPr="005A37E7" w:rsidTr="007B57C0">
        <w:tc>
          <w:tcPr>
            <w:tcW w:w="4582" w:type="dxa"/>
          </w:tcPr>
          <w:p w:rsidR="00A02265" w:rsidRPr="005A37E7" w:rsidRDefault="00A02265" w:rsidP="00B223D9">
            <w:pPr>
              <w:rPr>
                <w:b/>
              </w:rPr>
            </w:pPr>
            <w:r w:rsidRPr="005A37E7">
              <w:rPr>
                <w:b/>
              </w:rPr>
              <w:t xml:space="preserve">Forme </w:t>
            </w:r>
          </w:p>
        </w:tc>
        <w:tc>
          <w:tcPr>
            <w:tcW w:w="4582" w:type="dxa"/>
          </w:tcPr>
          <w:p w:rsidR="00A02265" w:rsidRPr="005A37E7" w:rsidRDefault="00A02265" w:rsidP="00B223D9">
            <w:r w:rsidRPr="005A37E7">
              <w:t>SAS</w:t>
            </w:r>
          </w:p>
        </w:tc>
        <w:tc>
          <w:tcPr>
            <w:tcW w:w="4582" w:type="dxa"/>
          </w:tcPr>
          <w:p w:rsidR="00A02265" w:rsidRPr="005A37E7" w:rsidRDefault="00A02265" w:rsidP="003460BD">
            <w:r w:rsidRPr="005A37E7">
              <w:t>-</w:t>
            </w:r>
          </w:p>
        </w:tc>
      </w:tr>
      <w:tr w:rsidR="00A02265" w:rsidRPr="005A37E7" w:rsidTr="007B57C0">
        <w:tc>
          <w:tcPr>
            <w:tcW w:w="4582" w:type="dxa"/>
          </w:tcPr>
          <w:p w:rsidR="00A02265" w:rsidRPr="005A37E7" w:rsidRDefault="00A02265" w:rsidP="00B223D9">
            <w:pPr>
              <w:rPr>
                <w:b/>
              </w:rPr>
            </w:pPr>
            <w:r w:rsidRPr="005A37E7">
              <w:rPr>
                <w:b/>
              </w:rPr>
              <w:t>Objet</w:t>
            </w:r>
          </w:p>
        </w:tc>
        <w:tc>
          <w:tcPr>
            <w:tcW w:w="4582" w:type="dxa"/>
          </w:tcPr>
          <w:p w:rsidR="00A02265" w:rsidRPr="005A37E7" w:rsidRDefault="00A02265" w:rsidP="00B223D9">
            <w:r w:rsidRPr="005A37E7">
              <w:t>Production et commercialisation de demis produits métalliques issus de fusions et/ou refusions de matières secondaires recyclées ou de matières premières vierges, en particulier dans le domaine du titane et des métaux à haut point de fusion, et toute activité industrielle ou commerciale s’y afférant.</w:t>
            </w:r>
          </w:p>
        </w:tc>
        <w:tc>
          <w:tcPr>
            <w:tcW w:w="4582" w:type="dxa"/>
          </w:tcPr>
          <w:p w:rsidR="00A02265" w:rsidRPr="005A37E7" w:rsidRDefault="00A02265" w:rsidP="003460BD">
            <w:commentRangeStart w:id="9"/>
            <w:r w:rsidRPr="005A37E7">
              <w:t>Ajouter « Production et commercialisation de lingots métalliques »</w:t>
            </w:r>
            <w:commentRangeEnd w:id="9"/>
            <w:r w:rsidR="00B25EF6">
              <w:rPr>
                <w:rStyle w:val="Marquedecommentaire"/>
              </w:rPr>
              <w:commentReference w:id="9"/>
            </w:r>
          </w:p>
        </w:tc>
      </w:tr>
      <w:tr w:rsidR="00A02265" w:rsidRPr="005A37E7" w:rsidTr="007B57C0">
        <w:tc>
          <w:tcPr>
            <w:tcW w:w="4582" w:type="dxa"/>
          </w:tcPr>
          <w:p w:rsidR="00A02265" w:rsidRPr="005A37E7" w:rsidRDefault="00A02265" w:rsidP="00B223D9">
            <w:pPr>
              <w:rPr>
                <w:b/>
              </w:rPr>
            </w:pPr>
            <w:r w:rsidRPr="005A37E7">
              <w:rPr>
                <w:b/>
              </w:rPr>
              <w:t>Dénomination sociale</w:t>
            </w:r>
          </w:p>
        </w:tc>
        <w:tc>
          <w:tcPr>
            <w:tcW w:w="4582" w:type="dxa"/>
          </w:tcPr>
          <w:p w:rsidR="00A02265" w:rsidRPr="005A37E7" w:rsidRDefault="00A02265" w:rsidP="003460BD">
            <w:r w:rsidRPr="005A37E7">
              <w:t>Ecotitanium (la « Société »)</w:t>
            </w:r>
          </w:p>
        </w:tc>
        <w:tc>
          <w:tcPr>
            <w:tcW w:w="4582" w:type="dxa"/>
          </w:tcPr>
          <w:p w:rsidR="00A02265" w:rsidRPr="005A37E7" w:rsidRDefault="00A02265" w:rsidP="003460BD">
            <w:r w:rsidRPr="005A37E7">
              <w:t>-</w:t>
            </w:r>
          </w:p>
        </w:tc>
      </w:tr>
      <w:tr w:rsidR="00A02265" w:rsidRPr="005A37E7" w:rsidTr="007B57C0">
        <w:tc>
          <w:tcPr>
            <w:tcW w:w="4582" w:type="dxa"/>
          </w:tcPr>
          <w:p w:rsidR="00A02265" w:rsidRPr="005A37E7" w:rsidRDefault="00A02265" w:rsidP="00B223D9">
            <w:pPr>
              <w:rPr>
                <w:b/>
              </w:rPr>
            </w:pPr>
            <w:r w:rsidRPr="005A37E7">
              <w:rPr>
                <w:b/>
              </w:rPr>
              <w:lastRenderedPageBreak/>
              <w:t>Siège social</w:t>
            </w:r>
          </w:p>
        </w:tc>
        <w:tc>
          <w:tcPr>
            <w:tcW w:w="4582" w:type="dxa"/>
          </w:tcPr>
          <w:p w:rsidR="00A02265" w:rsidRPr="005A37E7" w:rsidRDefault="00A02265" w:rsidP="003460BD">
            <w:r w:rsidRPr="005A37E7">
              <w:t>TMM</w:t>
            </w:r>
          </w:p>
        </w:tc>
        <w:tc>
          <w:tcPr>
            <w:tcW w:w="4582" w:type="dxa"/>
          </w:tcPr>
          <w:p w:rsidR="00A02265" w:rsidRPr="005A37E7" w:rsidRDefault="00A02265" w:rsidP="003460BD">
            <w:commentRangeStart w:id="10"/>
            <w:r w:rsidRPr="005A37E7">
              <w:t>Tour Montparnasse ?</w:t>
            </w:r>
            <w:commentRangeEnd w:id="10"/>
            <w:r w:rsidR="007335BF">
              <w:rPr>
                <w:rStyle w:val="Marquedecommentaire"/>
              </w:rPr>
              <w:commentReference w:id="10"/>
            </w:r>
          </w:p>
        </w:tc>
      </w:tr>
      <w:tr w:rsidR="00A02265" w:rsidRPr="005A37E7" w:rsidTr="007B57C0">
        <w:tc>
          <w:tcPr>
            <w:tcW w:w="4582" w:type="dxa"/>
          </w:tcPr>
          <w:p w:rsidR="00A02265" w:rsidRPr="005A37E7" w:rsidRDefault="00A02265" w:rsidP="00B223D9">
            <w:pPr>
              <w:rPr>
                <w:b/>
              </w:rPr>
            </w:pPr>
            <w:r w:rsidRPr="005A37E7">
              <w:rPr>
                <w:b/>
              </w:rPr>
              <w:t>Durée</w:t>
            </w:r>
          </w:p>
        </w:tc>
        <w:tc>
          <w:tcPr>
            <w:tcW w:w="4582" w:type="dxa"/>
          </w:tcPr>
          <w:p w:rsidR="00A02265" w:rsidRPr="005A37E7" w:rsidRDefault="00A02265" w:rsidP="003460BD">
            <w:r w:rsidRPr="005A37E7">
              <w:t>99 ans</w:t>
            </w:r>
          </w:p>
        </w:tc>
        <w:tc>
          <w:tcPr>
            <w:tcW w:w="4582" w:type="dxa"/>
          </w:tcPr>
          <w:p w:rsidR="00A02265" w:rsidRPr="005A37E7" w:rsidRDefault="00A02265" w:rsidP="003460BD">
            <w:r w:rsidRPr="005A37E7">
              <w:t>-</w:t>
            </w:r>
          </w:p>
        </w:tc>
      </w:tr>
      <w:tr w:rsidR="00A02265" w:rsidRPr="005A37E7" w:rsidTr="007B57C0">
        <w:tc>
          <w:tcPr>
            <w:tcW w:w="4582" w:type="dxa"/>
          </w:tcPr>
          <w:p w:rsidR="00A02265" w:rsidRPr="005A37E7" w:rsidRDefault="00A02265" w:rsidP="00B223D9">
            <w:pPr>
              <w:rPr>
                <w:b/>
              </w:rPr>
            </w:pPr>
            <w:r w:rsidRPr="005A37E7">
              <w:rPr>
                <w:b/>
              </w:rPr>
              <w:t>Apports/Capital social</w:t>
            </w:r>
          </w:p>
        </w:tc>
        <w:tc>
          <w:tcPr>
            <w:tcW w:w="4582" w:type="dxa"/>
          </w:tcPr>
          <w:p w:rsidR="00A02265" w:rsidRPr="005A37E7" w:rsidRDefault="00A02265" w:rsidP="003460BD">
            <w:r w:rsidRPr="005A37E7">
              <w:t>Capital social 23 000 000</w:t>
            </w:r>
          </w:p>
          <w:p w:rsidR="00A02265" w:rsidRPr="005A37E7" w:rsidRDefault="00A02265" w:rsidP="003460BD">
            <w:r w:rsidRPr="005A37E7">
              <w:t>La part d’UKAD représente 10.000.000€ représentant 43.5% du capital en numéraire et des droits de vote associés ;</w:t>
            </w:r>
          </w:p>
          <w:p w:rsidR="00A02265" w:rsidRPr="005A37E7" w:rsidRDefault="00A02265" w:rsidP="003460BD">
            <w:r w:rsidRPr="005A37E7">
              <w:t>La part de l’ADEME représente 9.500.000€ représentant 41.3% du capital en numéraire et des droits de vote associés ;</w:t>
            </w:r>
          </w:p>
          <w:p w:rsidR="00A02265" w:rsidRPr="005A37E7" w:rsidRDefault="00A02265" w:rsidP="003460BD">
            <w:r w:rsidRPr="005A37E7">
              <w:t>La part du CA représente 3.500.000€, représentant 15.2% du capital en numéraire et des droits de vote associés ;</w:t>
            </w:r>
          </w:p>
          <w:p w:rsidR="00A02265" w:rsidRPr="005A37E7" w:rsidRDefault="00A02265" w:rsidP="003460BD">
            <w:r w:rsidRPr="005A37E7">
              <w:t>Forme des titres : Nominative</w:t>
            </w:r>
          </w:p>
        </w:tc>
        <w:tc>
          <w:tcPr>
            <w:tcW w:w="4582" w:type="dxa"/>
          </w:tcPr>
          <w:p w:rsidR="00A02265" w:rsidRPr="005A37E7" w:rsidRDefault="00A02265" w:rsidP="00B223D9">
            <w:r>
              <w:t>-</w:t>
            </w:r>
          </w:p>
        </w:tc>
      </w:tr>
      <w:tr w:rsidR="00A02265" w:rsidRPr="005A37E7" w:rsidTr="007B57C0">
        <w:tc>
          <w:tcPr>
            <w:tcW w:w="4582" w:type="dxa"/>
          </w:tcPr>
          <w:p w:rsidR="00A02265" w:rsidRPr="005A37E7" w:rsidRDefault="00A02265" w:rsidP="00B223D9">
            <w:pPr>
              <w:rPr>
                <w:b/>
              </w:rPr>
            </w:pPr>
            <w:r w:rsidRPr="005A37E7">
              <w:rPr>
                <w:b/>
              </w:rPr>
              <w:t>Exercice social</w:t>
            </w:r>
          </w:p>
        </w:tc>
        <w:tc>
          <w:tcPr>
            <w:tcW w:w="4582" w:type="dxa"/>
          </w:tcPr>
          <w:p w:rsidR="00A02265" w:rsidRPr="005A37E7" w:rsidRDefault="00A02265" w:rsidP="00B223D9">
            <w:r w:rsidRPr="005A37E7">
              <w:t>1er  janvier – 31 décembre</w:t>
            </w:r>
          </w:p>
        </w:tc>
        <w:tc>
          <w:tcPr>
            <w:tcW w:w="4582" w:type="dxa"/>
          </w:tcPr>
          <w:p w:rsidR="00A02265" w:rsidRPr="005A37E7" w:rsidRDefault="00A02265" w:rsidP="00B223D9">
            <w:r w:rsidRPr="005A37E7">
              <w:t>-</w:t>
            </w:r>
          </w:p>
        </w:tc>
      </w:tr>
      <w:tr w:rsidR="00A02265" w:rsidRPr="005A37E7" w:rsidTr="009E5268">
        <w:tc>
          <w:tcPr>
            <w:tcW w:w="13746" w:type="dxa"/>
            <w:gridSpan w:val="3"/>
          </w:tcPr>
          <w:p w:rsidR="00A02265" w:rsidRPr="005A37E7" w:rsidRDefault="00A02265" w:rsidP="009E5268">
            <w:pPr>
              <w:keepNext/>
              <w:rPr>
                <w:b/>
              </w:rPr>
            </w:pPr>
          </w:p>
          <w:p w:rsidR="00A02265" w:rsidRPr="005A37E7" w:rsidRDefault="00A02265" w:rsidP="008A2E63">
            <w:pPr>
              <w:keepNext/>
              <w:rPr>
                <w:b/>
                <w:u w:val="single"/>
              </w:rPr>
            </w:pPr>
            <w:r w:rsidRPr="005A37E7">
              <w:rPr>
                <w:b/>
                <w:u w:val="single"/>
              </w:rPr>
              <w:t xml:space="preserve">Gouvernance </w:t>
            </w:r>
          </w:p>
        </w:tc>
      </w:tr>
      <w:tr w:rsidR="00A02265" w:rsidRPr="005A37E7" w:rsidTr="007B57C0">
        <w:tc>
          <w:tcPr>
            <w:tcW w:w="4582" w:type="dxa"/>
          </w:tcPr>
          <w:p w:rsidR="00A02265" w:rsidRPr="005A37E7" w:rsidRDefault="00A02265" w:rsidP="00B223D9">
            <w:pPr>
              <w:rPr>
                <w:b/>
              </w:rPr>
            </w:pPr>
            <w:r w:rsidRPr="005A37E7">
              <w:rPr>
                <w:b/>
              </w:rPr>
              <w:t>Président de la Société</w:t>
            </w:r>
          </w:p>
        </w:tc>
        <w:tc>
          <w:tcPr>
            <w:tcW w:w="4582" w:type="dxa"/>
          </w:tcPr>
          <w:p w:rsidR="00A02265" w:rsidRPr="005A37E7" w:rsidRDefault="00A02265" w:rsidP="00A26546">
            <w:r w:rsidRPr="005A37E7">
              <w:t>Nommé par décision collective des associés, prise à la majorité des deux tiers des voix des associés présents ou représentés.</w:t>
            </w:r>
          </w:p>
          <w:p w:rsidR="00A02265" w:rsidRPr="005A37E7" w:rsidRDefault="00A02265" w:rsidP="00A26546">
            <w:r w:rsidRPr="005A37E7">
              <w:t>Durée du mandat: 4 ans.</w:t>
            </w:r>
          </w:p>
          <w:p w:rsidR="00A02265" w:rsidRPr="005A37E7" w:rsidRDefault="00A02265" w:rsidP="00A26546">
            <w:r w:rsidRPr="005A37E7">
              <w:lastRenderedPageBreak/>
              <w:t>Révocation: mandat révocable à tout moment, sans justes motifs.</w:t>
            </w:r>
          </w:p>
          <w:p w:rsidR="00A02265" w:rsidRPr="005A37E7" w:rsidRDefault="00A02265" w:rsidP="00A26546">
            <w:r w:rsidRPr="005A37E7">
              <w:t>Pouvoir : représente la société à l’égard des tiers, est investi des pouvoirs les plus étendus pour agir en toutes circonstances au nom de la société dans la limite de l’objet social, des prérogatives du Comité de surveillance et l’assemblée générale.</w:t>
            </w:r>
          </w:p>
          <w:p w:rsidR="00A02265" w:rsidRPr="005A37E7" w:rsidRDefault="00A02265" w:rsidP="00A26546">
            <w:r w:rsidRPr="005A37E7">
              <w:t>Rémunération : fixée par décision collective du Comité de Surveillance.</w:t>
            </w:r>
          </w:p>
        </w:tc>
        <w:tc>
          <w:tcPr>
            <w:tcW w:w="4582" w:type="dxa"/>
          </w:tcPr>
          <w:p w:rsidR="00A02265" w:rsidRPr="005A37E7" w:rsidRDefault="00A02265" w:rsidP="00B223D9">
            <w:r w:rsidRPr="005A37E7">
              <w:lastRenderedPageBreak/>
              <w:t>Lis</w:t>
            </w:r>
            <w:r>
              <w:t>t</w:t>
            </w:r>
            <w:r w:rsidRPr="005A37E7">
              <w:t>e des pouvoirs en annexe.</w:t>
            </w:r>
          </w:p>
        </w:tc>
      </w:tr>
      <w:tr w:rsidR="00A02265" w:rsidRPr="005A37E7" w:rsidTr="007B57C0">
        <w:tc>
          <w:tcPr>
            <w:tcW w:w="4582" w:type="dxa"/>
          </w:tcPr>
          <w:p w:rsidR="00A02265" w:rsidRPr="005A37E7" w:rsidRDefault="00A02265" w:rsidP="00B223D9">
            <w:pPr>
              <w:rPr>
                <w:b/>
              </w:rPr>
            </w:pPr>
            <w:r w:rsidRPr="005A37E7">
              <w:rPr>
                <w:b/>
              </w:rPr>
              <w:lastRenderedPageBreak/>
              <w:t>Président du Comité de surveillance</w:t>
            </w:r>
          </w:p>
        </w:tc>
        <w:tc>
          <w:tcPr>
            <w:tcW w:w="4582" w:type="dxa"/>
          </w:tcPr>
          <w:p w:rsidR="00A02265" w:rsidRPr="005A37E7" w:rsidRDefault="00A02265" w:rsidP="00A26546">
            <w:r w:rsidRPr="005A37E7">
              <w:t>Le Comité de Surveillance propose la nomination d'un candidat au mandat de Président de la Société.</w:t>
            </w:r>
          </w:p>
          <w:p w:rsidR="00A02265" w:rsidRPr="005A37E7" w:rsidRDefault="00A02265" w:rsidP="00A26546">
            <w:r w:rsidRPr="005A37E7">
              <w:t>Le premier Président est proposé par UKAD.</w:t>
            </w:r>
          </w:p>
        </w:tc>
        <w:tc>
          <w:tcPr>
            <w:tcW w:w="4582" w:type="dxa"/>
          </w:tcPr>
          <w:p w:rsidR="00A02265" w:rsidRPr="005A37E7" w:rsidRDefault="00A02265" w:rsidP="00A26546">
            <w:commentRangeStart w:id="11"/>
            <w:r>
              <w:t>Le président de la S</w:t>
            </w:r>
            <w:r w:rsidRPr="005A37E7">
              <w:t xml:space="preserve">ociété peut exercer également le rôle de président du </w:t>
            </w:r>
            <w:r>
              <w:t>C</w:t>
            </w:r>
            <w:r w:rsidRPr="005A37E7">
              <w:t>omité de surveillance</w:t>
            </w:r>
            <w:r>
              <w:t>.</w:t>
            </w:r>
            <w:commentRangeEnd w:id="11"/>
            <w:r w:rsidR="006D6F23">
              <w:rPr>
                <w:rStyle w:val="Marquedecommentaire"/>
              </w:rPr>
              <w:commentReference w:id="11"/>
            </w:r>
          </w:p>
          <w:p w:rsidR="00A02265" w:rsidRPr="005A37E7" w:rsidRDefault="00A02265" w:rsidP="00B223D9"/>
        </w:tc>
      </w:tr>
      <w:tr w:rsidR="00A02265" w:rsidRPr="005A37E7" w:rsidTr="007B57C0">
        <w:tc>
          <w:tcPr>
            <w:tcW w:w="4582" w:type="dxa"/>
          </w:tcPr>
          <w:p w:rsidR="00A02265" w:rsidRPr="005A37E7" w:rsidRDefault="00A02265" w:rsidP="00B223D9">
            <w:pPr>
              <w:rPr>
                <w:b/>
              </w:rPr>
            </w:pPr>
            <w:commentRangeStart w:id="12"/>
            <w:r w:rsidRPr="005A37E7">
              <w:rPr>
                <w:b/>
              </w:rPr>
              <w:t>Directeur Général</w:t>
            </w:r>
            <w:commentRangeEnd w:id="12"/>
            <w:r w:rsidR="009C67AA">
              <w:rPr>
                <w:rStyle w:val="Marquedecommentaire"/>
              </w:rPr>
              <w:commentReference w:id="12"/>
            </w:r>
          </w:p>
        </w:tc>
        <w:tc>
          <w:tcPr>
            <w:tcW w:w="4582" w:type="dxa"/>
          </w:tcPr>
          <w:p w:rsidR="00A02265" w:rsidRPr="005A37E7" w:rsidRDefault="00A02265" w:rsidP="00A26546">
            <w:r w:rsidRPr="005A37E7">
              <w:t>La société peut avoir un Directeur Général dont la mission est d’assister le Président.</w:t>
            </w:r>
          </w:p>
          <w:p w:rsidR="00A02265" w:rsidRPr="005A37E7" w:rsidRDefault="00A02265" w:rsidP="00A26546">
            <w:r w:rsidRPr="005A37E7">
              <w:t xml:space="preserve">Désigné par décision collective des associés </w:t>
            </w:r>
            <w:proofErr w:type="gramStart"/>
            <w:r w:rsidRPr="005A37E7">
              <w:t>prise</w:t>
            </w:r>
            <w:proofErr w:type="gramEnd"/>
            <w:r w:rsidRPr="005A37E7">
              <w:t xml:space="preserve"> à la majorité simple des voix, sur proposition du Président, qui détermine ses pouvoirs et sa rémunération.</w:t>
            </w:r>
          </w:p>
          <w:p w:rsidR="00A02265" w:rsidRPr="005A37E7" w:rsidRDefault="00A02265" w:rsidP="00A26546">
            <w:r w:rsidRPr="005A37E7">
              <w:t>Durée du mandat : 4 ans.</w:t>
            </w:r>
          </w:p>
          <w:p w:rsidR="00A02265" w:rsidRPr="005A37E7" w:rsidRDefault="00A02265" w:rsidP="00A26546">
            <w:r w:rsidRPr="005A37E7">
              <w:t xml:space="preserve">Révocation: mandat révocable à tout moment, </w:t>
            </w:r>
            <w:r w:rsidRPr="005A37E7">
              <w:lastRenderedPageBreak/>
              <w:t>sans justes motifs.</w:t>
            </w:r>
          </w:p>
          <w:p w:rsidR="00A02265" w:rsidRPr="005A37E7" w:rsidRDefault="00A02265" w:rsidP="00A26546">
            <w:r w:rsidRPr="005A37E7">
              <w:t>A l’égard des tiers, le Directeur Général représentera de plein droit la société.</w:t>
            </w:r>
          </w:p>
        </w:tc>
        <w:tc>
          <w:tcPr>
            <w:tcW w:w="4582" w:type="dxa"/>
          </w:tcPr>
          <w:p w:rsidR="00A02265" w:rsidRPr="005A37E7" w:rsidRDefault="00A02265" w:rsidP="00B223D9">
            <w:r w:rsidRPr="005A37E7">
              <w:lastRenderedPageBreak/>
              <w:t>-</w:t>
            </w:r>
          </w:p>
        </w:tc>
      </w:tr>
      <w:tr w:rsidR="00A02265" w:rsidRPr="005A37E7" w:rsidTr="007B57C0">
        <w:tc>
          <w:tcPr>
            <w:tcW w:w="4582" w:type="dxa"/>
            <w:vMerge w:val="restart"/>
          </w:tcPr>
          <w:p w:rsidR="00A02265" w:rsidRPr="005A37E7" w:rsidRDefault="00A02265" w:rsidP="00B223D9">
            <w:pPr>
              <w:rPr>
                <w:b/>
              </w:rPr>
            </w:pPr>
            <w:r w:rsidRPr="005A37E7">
              <w:rPr>
                <w:b/>
              </w:rPr>
              <w:lastRenderedPageBreak/>
              <w:t>Comité de surveillance (organisation)</w:t>
            </w:r>
          </w:p>
        </w:tc>
        <w:tc>
          <w:tcPr>
            <w:tcW w:w="4582" w:type="dxa"/>
          </w:tcPr>
          <w:p w:rsidR="00A02265" w:rsidRPr="005A37E7" w:rsidRDefault="00A02265" w:rsidP="00A26546">
            <w:r w:rsidRPr="005A37E7">
              <w:t>Composé de 5 membres nommés pour une durée de 4 années par décision de la collectivité des associés à la majorité simple, dont 2 membres nommés sur proposition d’UKAD, 2 membres nommés sur proposition de l’ADEME et 1 membre nommés sur proposition du CA.</w:t>
            </w:r>
          </w:p>
          <w:p w:rsidR="00A02265" w:rsidRPr="005A37E7" w:rsidRDefault="00A02265" w:rsidP="00A26546"/>
        </w:tc>
        <w:tc>
          <w:tcPr>
            <w:tcW w:w="4582" w:type="dxa"/>
          </w:tcPr>
          <w:p w:rsidR="00A02265" w:rsidRPr="005A37E7" w:rsidRDefault="00A02265" w:rsidP="002B4E94">
            <w:pPr>
              <w:spacing w:beforeLines="60" w:before="144" w:after="0"/>
              <w:rPr>
                <w:rFonts w:ascii="Arial" w:hAnsi="Arial" w:cs="Arial"/>
              </w:rPr>
            </w:pPr>
            <w:r w:rsidRPr="005A37E7">
              <w:rPr>
                <w:rFonts w:ascii="Arial" w:hAnsi="Arial" w:cs="Arial"/>
              </w:rPr>
              <w:t>-</w:t>
            </w:r>
          </w:p>
        </w:tc>
      </w:tr>
      <w:tr w:rsidR="00A02265" w:rsidRPr="005A37E7" w:rsidTr="007B57C0">
        <w:tc>
          <w:tcPr>
            <w:tcW w:w="4582" w:type="dxa"/>
            <w:vMerge/>
          </w:tcPr>
          <w:p w:rsidR="00A02265" w:rsidRPr="005A37E7" w:rsidRDefault="00A02265" w:rsidP="00B223D9">
            <w:pPr>
              <w:rPr>
                <w:b/>
              </w:rPr>
            </w:pPr>
          </w:p>
        </w:tc>
        <w:tc>
          <w:tcPr>
            <w:tcW w:w="4582" w:type="dxa"/>
          </w:tcPr>
          <w:p w:rsidR="00A02265" w:rsidRPr="005A37E7" w:rsidRDefault="00A02265" w:rsidP="00A26546">
            <w:pPr>
              <w:keepNext/>
            </w:pPr>
            <w:r w:rsidRPr="005A37E7">
              <w:t xml:space="preserve">Le Comité de surveillance se réunit autant de fois que de besoin et au moins 3 fois par an. </w:t>
            </w:r>
          </w:p>
        </w:tc>
        <w:tc>
          <w:tcPr>
            <w:tcW w:w="4582" w:type="dxa"/>
          </w:tcPr>
          <w:p w:rsidR="00A02265" w:rsidRPr="005A37E7" w:rsidRDefault="00A02265" w:rsidP="00A26546">
            <w:pPr>
              <w:rPr>
                <w:rFonts w:ascii="Arial" w:hAnsi="Arial" w:cs="Arial"/>
              </w:rPr>
            </w:pPr>
            <w:commentRangeStart w:id="13"/>
            <w:r w:rsidRPr="005A37E7">
              <w:t>Modifier la fréquence de réunion du Comité de Surveillance de 3 fois par au minimum à 4 fois par an</w:t>
            </w:r>
            <w:r>
              <w:t>.</w:t>
            </w:r>
            <w:commentRangeEnd w:id="13"/>
            <w:r w:rsidR="0036277A">
              <w:rPr>
                <w:rStyle w:val="Marquedecommentaire"/>
              </w:rPr>
              <w:commentReference w:id="13"/>
            </w:r>
          </w:p>
        </w:tc>
      </w:tr>
      <w:tr w:rsidR="00A02265" w:rsidRPr="005A37E7" w:rsidTr="007B57C0">
        <w:tc>
          <w:tcPr>
            <w:tcW w:w="4582" w:type="dxa"/>
            <w:vMerge/>
          </w:tcPr>
          <w:p w:rsidR="00A02265" w:rsidRPr="005A37E7" w:rsidRDefault="00A02265" w:rsidP="00B223D9">
            <w:pPr>
              <w:rPr>
                <w:b/>
              </w:rPr>
            </w:pPr>
          </w:p>
        </w:tc>
        <w:tc>
          <w:tcPr>
            <w:tcW w:w="4582" w:type="dxa"/>
          </w:tcPr>
          <w:p w:rsidR="00A02265" w:rsidRPr="005A37E7" w:rsidRDefault="00A02265" w:rsidP="00A26546">
            <w:r w:rsidRPr="005A37E7">
              <w:t>Les membres du Comité de surveillance ne sont pas rémunérés.</w:t>
            </w:r>
          </w:p>
          <w:p w:rsidR="00A02265" w:rsidRPr="005A37E7" w:rsidRDefault="00A02265" w:rsidP="00A26546">
            <w:r w:rsidRPr="005A37E7">
              <w:t>Il élit en son sein un président qui peut être le président de la Société.</w:t>
            </w:r>
          </w:p>
        </w:tc>
        <w:tc>
          <w:tcPr>
            <w:tcW w:w="4582" w:type="dxa"/>
          </w:tcPr>
          <w:p w:rsidR="00A02265" w:rsidRPr="005A37E7" w:rsidRDefault="00A02265" w:rsidP="002B4E94">
            <w:pPr>
              <w:spacing w:beforeLines="60" w:before="144" w:after="0"/>
              <w:rPr>
                <w:rFonts w:ascii="Arial" w:hAnsi="Arial" w:cs="Arial"/>
              </w:rPr>
            </w:pPr>
            <w:r w:rsidRPr="005A37E7">
              <w:rPr>
                <w:rFonts w:ascii="Arial" w:hAnsi="Arial" w:cs="Arial"/>
              </w:rPr>
              <w:t>-</w:t>
            </w:r>
          </w:p>
        </w:tc>
      </w:tr>
      <w:tr w:rsidR="00A02265" w:rsidRPr="005A37E7" w:rsidTr="007B57C0">
        <w:tc>
          <w:tcPr>
            <w:tcW w:w="4582" w:type="dxa"/>
          </w:tcPr>
          <w:p w:rsidR="00A02265" w:rsidRPr="005A37E7" w:rsidRDefault="00A02265" w:rsidP="00B223D9">
            <w:pPr>
              <w:rPr>
                <w:b/>
              </w:rPr>
            </w:pPr>
            <w:r w:rsidRPr="005A37E7">
              <w:rPr>
                <w:b/>
              </w:rPr>
              <w:t>Présidence du Comité de surveillance</w:t>
            </w:r>
          </w:p>
        </w:tc>
        <w:tc>
          <w:tcPr>
            <w:tcW w:w="4582" w:type="dxa"/>
          </w:tcPr>
          <w:p w:rsidR="00A02265" w:rsidRPr="005A37E7" w:rsidRDefault="00A02265" w:rsidP="002209CA">
            <w:r w:rsidRPr="005A37E7">
              <w:t>Le président du Comité de surveillance est élu tous les 4 ans par la majorité qualifiée des deux tiers des voix de ses membres.</w:t>
            </w:r>
          </w:p>
        </w:tc>
        <w:tc>
          <w:tcPr>
            <w:tcW w:w="4582" w:type="dxa"/>
          </w:tcPr>
          <w:p w:rsidR="00A02265" w:rsidRPr="005A37E7" w:rsidRDefault="00A02265" w:rsidP="002209CA">
            <w:commentRangeStart w:id="14"/>
            <w:r w:rsidRPr="005A37E7">
              <w:t>Majorité qualifiée : Majorité simple dont au moins un membre d’UKAD et un membre de l’ADEME</w:t>
            </w:r>
            <w:r>
              <w:t>.</w:t>
            </w:r>
            <w:commentRangeEnd w:id="14"/>
            <w:r w:rsidR="003F1CBB">
              <w:rPr>
                <w:rStyle w:val="Marquedecommentaire"/>
              </w:rPr>
              <w:commentReference w:id="14"/>
            </w:r>
          </w:p>
        </w:tc>
      </w:tr>
      <w:tr w:rsidR="00A02265" w:rsidRPr="005A37E7" w:rsidTr="007B57C0">
        <w:tc>
          <w:tcPr>
            <w:tcW w:w="4582" w:type="dxa"/>
          </w:tcPr>
          <w:p w:rsidR="00A02265" w:rsidRPr="005A37E7" w:rsidRDefault="00A02265" w:rsidP="00B223D9">
            <w:pPr>
              <w:rPr>
                <w:b/>
              </w:rPr>
            </w:pPr>
            <w:r w:rsidRPr="005A37E7">
              <w:rPr>
                <w:b/>
              </w:rPr>
              <w:t>Comité de surveillance (pouvoirs)</w:t>
            </w:r>
          </w:p>
        </w:tc>
        <w:tc>
          <w:tcPr>
            <w:tcW w:w="4582" w:type="dxa"/>
          </w:tcPr>
          <w:p w:rsidR="00A02265" w:rsidRPr="005A37E7" w:rsidRDefault="00A02265" w:rsidP="002209CA">
            <w:r w:rsidRPr="005A37E7">
              <w:t xml:space="preserve">L'autorisation préalable du Comité de surveillance est requise pour (liste non </w:t>
            </w:r>
            <w:r w:rsidRPr="005A37E7">
              <w:lastRenderedPageBreak/>
              <w:t>exhaustive):</w:t>
            </w:r>
          </w:p>
          <w:p w:rsidR="00A02265" w:rsidRPr="005A37E7" w:rsidRDefault="00A02265" w:rsidP="00BB141B">
            <w:pPr>
              <w:pStyle w:val="Paragraphedeliste"/>
              <w:numPr>
                <w:ilvl w:val="0"/>
                <w:numId w:val="40"/>
              </w:numPr>
            </w:pPr>
            <w:r w:rsidRPr="005A37E7">
              <w:t>l’émission de tout aval, caution et garantie ;</w:t>
            </w:r>
          </w:p>
          <w:p w:rsidR="00A02265" w:rsidRPr="005A37E7" w:rsidRDefault="00A02265" w:rsidP="00BB141B">
            <w:pPr>
              <w:pStyle w:val="Paragraphedeliste"/>
              <w:numPr>
                <w:ilvl w:val="0"/>
                <w:numId w:val="40"/>
              </w:numPr>
            </w:pPr>
            <w:r w:rsidRPr="005A37E7">
              <w:t>l’engagement de toute dépense d’investissement supérieure à 500 000 euros ;</w:t>
            </w:r>
          </w:p>
          <w:p w:rsidR="00A02265" w:rsidRPr="005A37E7" w:rsidRDefault="00A02265" w:rsidP="00BB141B">
            <w:pPr>
              <w:pStyle w:val="Paragraphedeliste"/>
              <w:numPr>
                <w:ilvl w:val="0"/>
                <w:numId w:val="40"/>
              </w:numPr>
            </w:pPr>
            <w:r w:rsidRPr="005A37E7">
              <w:t>Contracter des emprunts d’un montant supérieur à 100 000 euros ;</w:t>
            </w:r>
          </w:p>
          <w:p w:rsidR="00A02265" w:rsidRPr="005A37E7" w:rsidRDefault="00A02265" w:rsidP="00BB141B">
            <w:pPr>
              <w:pStyle w:val="Paragraphedeliste"/>
              <w:numPr>
                <w:ilvl w:val="0"/>
                <w:numId w:val="40"/>
              </w:numPr>
            </w:pPr>
            <w:r w:rsidRPr="005A37E7">
              <w:t>L’approbation du budget</w:t>
            </w:r>
          </w:p>
          <w:p w:rsidR="00A02265" w:rsidRPr="005A37E7" w:rsidRDefault="00A02265" w:rsidP="00BB141B">
            <w:pPr>
              <w:pStyle w:val="Paragraphedeliste"/>
              <w:numPr>
                <w:ilvl w:val="0"/>
                <w:numId w:val="40"/>
              </w:numPr>
            </w:pPr>
            <w:r w:rsidRPr="005A37E7">
              <w:t>La validation des propositions concernant l’affectation des résultats et la distribution de dividendes aux associés</w:t>
            </w:r>
          </w:p>
          <w:p w:rsidR="00A02265" w:rsidRPr="005A37E7" w:rsidRDefault="00A02265" w:rsidP="00BB141B">
            <w:pPr>
              <w:pStyle w:val="Paragraphedeliste"/>
              <w:numPr>
                <w:ilvl w:val="0"/>
                <w:numId w:val="40"/>
              </w:numPr>
            </w:pPr>
            <w:r w:rsidRPr="005A37E7">
              <w:t>La validation du Plan Stratégique (Business Plan) préparé par le Président de la Société</w:t>
            </w:r>
          </w:p>
          <w:p w:rsidR="00A02265" w:rsidRPr="005A37E7" w:rsidRDefault="00A02265" w:rsidP="002209CA">
            <w:r w:rsidRPr="005A37E7">
              <w:t>…</w:t>
            </w:r>
          </w:p>
        </w:tc>
        <w:tc>
          <w:tcPr>
            <w:tcW w:w="4582" w:type="dxa"/>
          </w:tcPr>
          <w:p w:rsidR="00A02265" w:rsidRPr="005A37E7" w:rsidRDefault="00A02265" w:rsidP="00B223D9">
            <w:r w:rsidRPr="005A37E7">
              <w:lastRenderedPageBreak/>
              <w:t>Une liste des décisions et de l’organe décisionnaire est donnée en annexe</w:t>
            </w:r>
            <w:r>
              <w:t>.</w:t>
            </w:r>
          </w:p>
        </w:tc>
      </w:tr>
      <w:tr w:rsidR="00A02265" w:rsidRPr="005A37E7" w:rsidTr="007B57C0">
        <w:tc>
          <w:tcPr>
            <w:tcW w:w="4582" w:type="dxa"/>
            <w:vMerge w:val="restart"/>
          </w:tcPr>
          <w:p w:rsidR="00A02265" w:rsidRPr="005A37E7" w:rsidRDefault="00A02265" w:rsidP="008A2E63">
            <w:pPr>
              <w:rPr>
                <w:b/>
              </w:rPr>
            </w:pPr>
            <w:r w:rsidRPr="005A37E7">
              <w:rPr>
                <w:b/>
              </w:rPr>
              <w:lastRenderedPageBreak/>
              <w:t>Comité de surveillance (délibérations)</w:t>
            </w:r>
          </w:p>
        </w:tc>
        <w:tc>
          <w:tcPr>
            <w:tcW w:w="4582" w:type="dxa"/>
          </w:tcPr>
          <w:p w:rsidR="00A02265" w:rsidRPr="005A37E7" w:rsidRDefault="00A02265" w:rsidP="002209CA">
            <w:r w:rsidRPr="005A37E7">
              <w:t>Convoqué par son président librement par écrit (l’écrit électronique étant valable) au minimum 7 jours avant sa tenue.</w:t>
            </w:r>
          </w:p>
        </w:tc>
        <w:tc>
          <w:tcPr>
            <w:tcW w:w="4582" w:type="dxa"/>
          </w:tcPr>
          <w:p w:rsidR="00A02265" w:rsidRPr="005A37E7" w:rsidRDefault="00A02265" w:rsidP="002209CA">
            <w:r w:rsidRPr="005A37E7">
              <w:t xml:space="preserve">Convocation du Comité de Surveillance au minimum 15 jours avant sa tenue. Ce délai peut-être raccourci en cas d’accord de l’ensemble de ses membres. </w:t>
            </w:r>
          </w:p>
        </w:tc>
      </w:tr>
      <w:tr w:rsidR="00A02265" w:rsidRPr="005A37E7" w:rsidTr="007B57C0">
        <w:tc>
          <w:tcPr>
            <w:tcW w:w="4582" w:type="dxa"/>
            <w:vMerge/>
          </w:tcPr>
          <w:p w:rsidR="00A02265" w:rsidRPr="005A37E7" w:rsidRDefault="00A02265" w:rsidP="00B223D9">
            <w:pPr>
              <w:rPr>
                <w:b/>
              </w:rPr>
            </w:pPr>
          </w:p>
        </w:tc>
        <w:tc>
          <w:tcPr>
            <w:tcW w:w="4582" w:type="dxa"/>
          </w:tcPr>
          <w:p w:rsidR="00A02265" w:rsidRPr="005A37E7" w:rsidRDefault="00A02265" w:rsidP="002209CA">
            <w:r w:rsidRPr="005A37E7">
              <w:t xml:space="preserve">Chaque membre du Comité de surveillance est titulaire d’une voix. </w:t>
            </w:r>
          </w:p>
          <w:p w:rsidR="00A02265" w:rsidRPr="005A37E7" w:rsidRDefault="00A02265" w:rsidP="002209CA">
            <w:r w:rsidRPr="005A37E7">
              <w:t xml:space="preserve">Le Comité de surveillance se tient valablement dès lors que ses membres sont présents </w:t>
            </w:r>
            <w:r w:rsidRPr="005A37E7">
              <w:lastRenderedPageBreak/>
              <w:t>physiquement, par téléphone ou visio-conférence.</w:t>
            </w:r>
          </w:p>
        </w:tc>
        <w:tc>
          <w:tcPr>
            <w:tcW w:w="4582" w:type="dxa"/>
          </w:tcPr>
          <w:p w:rsidR="00A02265" w:rsidRPr="005A37E7" w:rsidRDefault="00A02265" w:rsidP="002209CA">
            <w:r w:rsidRPr="005A37E7">
              <w:lastRenderedPageBreak/>
              <w:t>-</w:t>
            </w:r>
          </w:p>
        </w:tc>
      </w:tr>
      <w:tr w:rsidR="00A02265" w:rsidRPr="005A37E7" w:rsidTr="007B57C0">
        <w:tc>
          <w:tcPr>
            <w:tcW w:w="4582" w:type="dxa"/>
            <w:vMerge/>
          </w:tcPr>
          <w:p w:rsidR="00A02265" w:rsidRPr="005A37E7" w:rsidRDefault="00A02265" w:rsidP="00B223D9">
            <w:pPr>
              <w:rPr>
                <w:b/>
              </w:rPr>
            </w:pPr>
          </w:p>
        </w:tc>
        <w:tc>
          <w:tcPr>
            <w:tcW w:w="4582" w:type="dxa"/>
          </w:tcPr>
          <w:p w:rsidR="00A02265" w:rsidRPr="005A37E7" w:rsidRDefault="00A02265" w:rsidP="002209CA">
            <w:r w:rsidRPr="005A37E7">
              <w:t>Quorum: Supérieur ou égal à 3 membres.</w:t>
            </w:r>
          </w:p>
        </w:tc>
        <w:tc>
          <w:tcPr>
            <w:tcW w:w="4582" w:type="dxa"/>
          </w:tcPr>
          <w:p w:rsidR="00A02265" w:rsidRPr="005A37E7" w:rsidRDefault="00A02265" w:rsidP="002209CA">
            <w:r w:rsidRPr="005A37E7">
              <w:t xml:space="preserve">Quorum : </w:t>
            </w:r>
          </w:p>
          <w:p w:rsidR="00A02265" w:rsidRPr="005A37E7" w:rsidRDefault="00A02265" w:rsidP="002209CA">
            <w:pPr>
              <w:pStyle w:val="Paragraphedeliste"/>
              <w:numPr>
                <w:ilvl w:val="0"/>
                <w:numId w:val="27"/>
              </w:numPr>
            </w:pPr>
            <w:r w:rsidRPr="005A37E7">
              <w:t>Sur première convocation, au moins 3 membres, dont au moins 1 représentant de l’ADEME et d’UKAD, doivent être présents, représentés ou participer à la réunion</w:t>
            </w:r>
          </w:p>
          <w:p w:rsidR="00A02265" w:rsidRPr="005A37E7" w:rsidRDefault="00A02265" w:rsidP="002209CA">
            <w:pPr>
              <w:pStyle w:val="Paragraphedeliste"/>
              <w:numPr>
                <w:ilvl w:val="0"/>
                <w:numId w:val="27"/>
              </w:numPr>
            </w:pPr>
            <w:commentRangeStart w:id="15"/>
            <w:r w:rsidRPr="005A37E7">
              <w:t>Sur deuxième convocation, au moins 3 membres doivent être présents, représentés ou participer à la réunion</w:t>
            </w:r>
            <w:commentRangeEnd w:id="15"/>
            <w:r w:rsidR="005F6B58">
              <w:rPr>
                <w:rStyle w:val="Marquedecommentaire"/>
                <w:rFonts w:asciiTheme="minorHAnsi" w:eastAsiaTheme="minorHAnsi" w:hAnsiTheme="minorHAnsi" w:cstheme="minorBidi"/>
              </w:rPr>
              <w:commentReference w:id="15"/>
            </w:r>
          </w:p>
          <w:p w:rsidR="00A02265" w:rsidRPr="005A37E7" w:rsidRDefault="00A02265" w:rsidP="002209CA">
            <w:r w:rsidRPr="005A37E7">
              <w:t>La date de la réunion faisant l’objet de la 2</w:t>
            </w:r>
            <w:r w:rsidRPr="005A37E7">
              <w:rPr>
                <w:vertAlign w:val="superscript"/>
              </w:rPr>
              <w:t>ème</w:t>
            </w:r>
            <w:r w:rsidRPr="005A37E7">
              <w:t xml:space="preserve"> convocation doit avoir lieu au moins 15 jours après la date de la réunion faisant l’objet de la 1</w:t>
            </w:r>
            <w:r w:rsidRPr="005A37E7">
              <w:rPr>
                <w:vertAlign w:val="superscript"/>
              </w:rPr>
              <w:t>ère</w:t>
            </w:r>
            <w:r w:rsidRPr="005A37E7">
              <w:t xml:space="preserve"> convocation.</w:t>
            </w:r>
          </w:p>
        </w:tc>
      </w:tr>
      <w:tr w:rsidR="00A02265" w:rsidRPr="005A37E7" w:rsidTr="007B57C0">
        <w:tc>
          <w:tcPr>
            <w:tcW w:w="4582" w:type="dxa"/>
            <w:vMerge/>
          </w:tcPr>
          <w:p w:rsidR="00A02265" w:rsidRPr="005A37E7" w:rsidRDefault="00A02265" w:rsidP="00B223D9">
            <w:pPr>
              <w:rPr>
                <w:b/>
              </w:rPr>
            </w:pPr>
          </w:p>
        </w:tc>
        <w:tc>
          <w:tcPr>
            <w:tcW w:w="4582" w:type="dxa"/>
          </w:tcPr>
          <w:p w:rsidR="00A02265" w:rsidRPr="005A37E7" w:rsidRDefault="00A02265" w:rsidP="002209CA">
            <w:r w:rsidRPr="005A37E7">
              <w:t>Toute décision du Comité de Surveillance est prise à la majorité de 3 sur 5 membres.</w:t>
            </w:r>
          </w:p>
        </w:tc>
        <w:tc>
          <w:tcPr>
            <w:tcW w:w="4582" w:type="dxa"/>
          </w:tcPr>
          <w:p w:rsidR="00A02265" w:rsidRPr="005A37E7" w:rsidRDefault="00A02265" w:rsidP="002209CA">
            <w:commentRangeStart w:id="16"/>
            <w:r w:rsidRPr="005A37E7">
              <w:t xml:space="preserve">En fonction des décisions, prévoir une majorité simple et une majorité qualifiée </w:t>
            </w:r>
            <w:r w:rsidRPr="005A37E7">
              <w:br/>
              <w:t>(cf. annexe).</w:t>
            </w:r>
            <w:commentRangeEnd w:id="16"/>
            <w:r w:rsidR="0002018B">
              <w:rPr>
                <w:rStyle w:val="Marquedecommentaire"/>
              </w:rPr>
              <w:commentReference w:id="16"/>
            </w:r>
          </w:p>
          <w:p w:rsidR="00A02265" w:rsidRPr="005A37E7" w:rsidRDefault="00A02265" w:rsidP="002209CA">
            <w:r w:rsidRPr="005A37E7">
              <w:t>Majorité qualifiée : 3 membres dont au moins 1 membre d’UKAD et un membre ADEME.</w:t>
            </w:r>
          </w:p>
        </w:tc>
      </w:tr>
      <w:tr w:rsidR="00A02265" w:rsidRPr="005A37E7" w:rsidTr="007B57C0">
        <w:tc>
          <w:tcPr>
            <w:tcW w:w="4582" w:type="dxa"/>
          </w:tcPr>
          <w:p w:rsidR="00A02265" w:rsidRPr="005A37E7" w:rsidRDefault="00A02265" w:rsidP="009B6425">
            <w:pPr>
              <w:keepNext/>
              <w:rPr>
                <w:b/>
              </w:rPr>
            </w:pPr>
            <w:r w:rsidRPr="005A37E7">
              <w:rPr>
                <w:b/>
              </w:rPr>
              <w:lastRenderedPageBreak/>
              <w:t>Assemblées d’associés</w:t>
            </w:r>
          </w:p>
        </w:tc>
        <w:tc>
          <w:tcPr>
            <w:tcW w:w="4582" w:type="dxa"/>
          </w:tcPr>
          <w:p w:rsidR="00A02265" w:rsidRPr="005A37E7" w:rsidRDefault="00A02265" w:rsidP="002B4E94">
            <w:pPr>
              <w:keepNext/>
              <w:spacing w:beforeLines="60" w:before="144" w:after="0"/>
            </w:pPr>
            <w:r w:rsidRPr="005A37E7">
              <w:t>L’assemblée générale se réunit au moins une fois par an pour l’approbation des comptes annuels dans les 6 mois de la clôture de l’exercice social écoulé.</w:t>
            </w:r>
          </w:p>
        </w:tc>
        <w:tc>
          <w:tcPr>
            <w:tcW w:w="4582" w:type="dxa"/>
          </w:tcPr>
          <w:p w:rsidR="00A02265" w:rsidRPr="005A37E7" w:rsidRDefault="00A02265" w:rsidP="002B4E94">
            <w:pPr>
              <w:keepNext/>
              <w:autoSpaceDE w:val="0"/>
              <w:autoSpaceDN w:val="0"/>
              <w:adjustRightInd w:val="0"/>
              <w:spacing w:beforeLines="60" w:before="144" w:after="0"/>
            </w:pPr>
            <w:r w:rsidRPr="005A37E7">
              <w:t>-</w:t>
            </w:r>
          </w:p>
        </w:tc>
      </w:tr>
      <w:tr w:rsidR="00A02265" w:rsidRPr="005A37E7" w:rsidTr="007B57C0">
        <w:tc>
          <w:tcPr>
            <w:tcW w:w="4582" w:type="dxa"/>
          </w:tcPr>
          <w:p w:rsidR="00A02265" w:rsidRPr="005A37E7" w:rsidRDefault="00A02265" w:rsidP="00B223D9">
            <w:pPr>
              <w:rPr>
                <w:b/>
              </w:rPr>
            </w:pPr>
            <w:r w:rsidRPr="005A37E7">
              <w:rPr>
                <w:b/>
              </w:rPr>
              <w:t>Convocations</w:t>
            </w:r>
          </w:p>
        </w:tc>
        <w:tc>
          <w:tcPr>
            <w:tcW w:w="4582" w:type="dxa"/>
          </w:tcPr>
          <w:p w:rsidR="00A02265" w:rsidRPr="005A37E7" w:rsidRDefault="00A02265" w:rsidP="002B4E94">
            <w:pPr>
              <w:spacing w:beforeLines="60" w:before="144" w:after="0"/>
            </w:pPr>
            <w:r w:rsidRPr="005A37E7">
              <w:t>L’assemblée générale est convoquée par le Président.</w:t>
            </w:r>
          </w:p>
        </w:tc>
        <w:tc>
          <w:tcPr>
            <w:tcW w:w="4582" w:type="dxa"/>
          </w:tcPr>
          <w:p w:rsidR="00A02265" w:rsidRPr="005A37E7" w:rsidRDefault="00A02265" w:rsidP="002B4E94">
            <w:pPr>
              <w:autoSpaceDE w:val="0"/>
              <w:autoSpaceDN w:val="0"/>
              <w:adjustRightInd w:val="0"/>
              <w:spacing w:beforeLines="60" w:before="144" w:after="0"/>
            </w:pPr>
            <w:commentRangeStart w:id="17"/>
            <w:r w:rsidRPr="005A37E7">
              <w:t>Délais de 15 jours minimum pour la convocation</w:t>
            </w:r>
            <w:r>
              <w:t>.</w:t>
            </w:r>
            <w:commentRangeEnd w:id="17"/>
            <w:r w:rsidR="00491EB1">
              <w:rPr>
                <w:rStyle w:val="Marquedecommentaire"/>
              </w:rPr>
              <w:commentReference w:id="17"/>
            </w:r>
          </w:p>
        </w:tc>
      </w:tr>
      <w:tr w:rsidR="00A02265" w:rsidRPr="005A37E7" w:rsidTr="007B57C0">
        <w:tc>
          <w:tcPr>
            <w:tcW w:w="4582" w:type="dxa"/>
          </w:tcPr>
          <w:p w:rsidR="00A02265" w:rsidRPr="005A37E7" w:rsidRDefault="00A02265" w:rsidP="00B223D9">
            <w:pPr>
              <w:rPr>
                <w:b/>
              </w:rPr>
            </w:pPr>
            <w:r w:rsidRPr="005A37E7">
              <w:rPr>
                <w:b/>
              </w:rPr>
              <w:t>Vote</w:t>
            </w:r>
          </w:p>
        </w:tc>
        <w:tc>
          <w:tcPr>
            <w:tcW w:w="4582" w:type="dxa"/>
          </w:tcPr>
          <w:p w:rsidR="00A02265" w:rsidRPr="005A37E7" w:rsidRDefault="00A02265" w:rsidP="002B4E94">
            <w:pPr>
              <w:spacing w:beforeLines="60" w:before="144" w:after="0"/>
            </w:pPr>
            <w:r w:rsidRPr="005A37E7">
              <w:t>Au prorata de la répartition du capital</w:t>
            </w:r>
          </w:p>
        </w:tc>
        <w:tc>
          <w:tcPr>
            <w:tcW w:w="4582" w:type="dxa"/>
          </w:tcPr>
          <w:p w:rsidR="00A02265" w:rsidRPr="005A37E7" w:rsidRDefault="00A02265" w:rsidP="002B4E94">
            <w:pPr>
              <w:autoSpaceDE w:val="0"/>
              <w:autoSpaceDN w:val="0"/>
              <w:adjustRightInd w:val="0"/>
              <w:spacing w:beforeLines="60" w:before="144" w:after="0"/>
            </w:pPr>
            <w:r w:rsidRPr="005A37E7">
              <w:t>-</w:t>
            </w:r>
          </w:p>
        </w:tc>
      </w:tr>
      <w:tr w:rsidR="00A02265" w:rsidRPr="005A37E7" w:rsidTr="007B57C0">
        <w:tc>
          <w:tcPr>
            <w:tcW w:w="4582" w:type="dxa"/>
          </w:tcPr>
          <w:p w:rsidR="00A02265" w:rsidRPr="005A37E7" w:rsidRDefault="00A02265" w:rsidP="00B223D9">
            <w:pPr>
              <w:rPr>
                <w:b/>
              </w:rPr>
            </w:pPr>
            <w:r w:rsidRPr="005A37E7">
              <w:rPr>
                <w:b/>
              </w:rPr>
              <w:t>Quorum</w:t>
            </w:r>
          </w:p>
        </w:tc>
        <w:tc>
          <w:tcPr>
            <w:tcW w:w="4582" w:type="dxa"/>
          </w:tcPr>
          <w:p w:rsidR="00A02265" w:rsidRPr="005A37E7" w:rsidRDefault="00A02265" w:rsidP="002B4E94">
            <w:pPr>
              <w:autoSpaceDE w:val="0"/>
              <w:autoSpaceDN w:val="0"/>
              <w:adjustRightInd w:val="0"/>
              <w:spacing w:beforeLines="60" w:before="144" w:after="0"/>
            </w:pPr>
            <w:r w:rsidRPr="005A37E7">
              <w:t>Ne se tient valablement que si tous les associés sont présents ou représentés.</w:t>
            </w:r>
          </w:p>
        </w:tc>
        <w:tc>
          <w:tcPr>
            <w:tcW w:w="4582" w:type="dxa"/>
          </w:tcPr>
          <w:p w:rsidR="00A02265" w:rsidRPr="005A37E7" w:rsidRDefault="00A02265" w:rsidP="002B4E94">
            <w:pPr>
              <w:autoSpaceDE w:val="0"/>
              <w:autoSpaceDN w:val="0"/>
              <w:adjustRightInd w:val="0"/>
              <w:spacing w:beforeLines="60" w:before="144" w:after="0"/>
            </w:pPr>
            <w:r w:rsidRPr="005A37E7">
              <w:t>Sur première convocation : tous les actionnaires doivent être présents ou représentés</w:t>
            </w:r>
            <w:r>
              <w:t>.</w:t>
            </w:r>
          </w:p>
          <w:p w:rsidR="00A02265" w:rsidRPr="005A37E7" w:rsidRDefault="00A02265" w:rsidP="002B4E94">
            <w:pPr>
              <w:autoSpaceDE w:val="0"/>
              <w:autoSpaceDN w:val="0"/>
              <w:adjustRightInd w:val="0"/>
              <w:spacing w:beforeLines="60" w:before="144" w:after="0"/>
            </w:pPr>
            <w:commentRangeStart w:id="18"/>
            <w:r w:rsidRPr="005A37E7">
              <w:t>Sur deuxième convocation, les actionnaires présents ou représentés doivent posséder au moins la majorité simple (donc plus de 50%) des actions ayant droit de vote</w:t>
            </w:r>
            <w:r>
              <w:t>.</w:t>
            </w:r>
            <w:r w:rsidRPr="005A37E7">
              <w:t xml:space="preserve"> </w:t>
            </w:r>
            <w:commentRangeEnd w:id="18"/>
            <w:r w:rsidR="00B643B7">
              <w:rPr>
                <w:rStyle w:val="Marquedecommentaire"/>
              </w:rPr>
              <w:commentReference w:id="18"/>
            </w:r>
          </w:p>
          <w:p w:rsidR="00A02265" w:rsidRPr="005A37E7" w:rsidRDefault="00A02265" w:rsidP="002B4E94">
            <w:pPr>
              <w:autoSpaceDE w:val="0"/>
              <w:autoSpaceDN w:val="0"/>
              <w:adjustRightInd w:val="0"/>
              <w:spacing w:beforeLines="60" w:before="144" w:after="0"/>
            </w:pPr>
          </w:p>
        </w:tc>
      </w:tr>
      <w:tr w:rsidR="00A02265" w:rsidRPr="005A37E7" w:rsidTr="007B57C0">
        <w:tc>
          <w:tcPr>
            <w:tcW w:w="4582" w:type="dxa"/>
          </w:tcPr>
          <w:p w:rsidR="00A02265" w:rsidRPr="005A37E7" w:rsidRDefault="00A02265" w:rsidP="00B223D9">
            <w:pPr>
              <w:rPr>
                <w:b/>
              </w:rPr>
            </w:pPr>
            <w:r w:rsidRPr="005A37E7">
              <w:rPr>
                <w:b/>
              </w:rPr>
              <w:t>Majorité AGO</w:t>
            </w:r>
          </w:p>
        </w:tc>
        <w:tc>
          <w:tcPr>
            <w:tcW w:w="4582" w:type="dxa"/>
          </w:tcPr>
          <w:p w:rsidR="00A02265" w:rsidRPr="005A37E7" w:rsidRDefault="00A02265" w:rsidP="002B4E94">
            <w:pPr>
              <w:autoSpaceDE w:val="0"/>
              <w:autoSpaceDN w:val="0"/>
              <w:adjustRightInd w:val="0"/>
              <w:spacing w:beforeLines="60" w:before="144" w:after="0"/>
            </w:pPr>
            <w:r w:rsidRPr="005A37E7">
              <w:t>Délibérations prises à la majorité des associés</w:t>
            </w:r>
          </w:p>
        </w:tc>
        <w:tc>
          <w:tcPr>
            <w:tcW w:w="4582" w:type="dxa"/>
          </w:tcPr>
          <w:p w:rsidR="00A02265" w:rsidRPr="005A37E7" w:rsidRDefault="00A02265" w:rsidP="002B4E94">
            <w:pPr>
              <w:autoSpaceDE w:val="0"/>
              <w:autoSpaceDN w:val="0"/>
              <w:adjustRightInd w:val="0"/>
              <w:spacing w:beforeLines="60" w:before="144" w:after="0"/>
            </w:pPr>
            <w:r w:rsidRPr="005A37E7">
              <w:t>-</w:t>
            </w:r>
          </w:p>
        </w:tc>
      </w:tr>
      <w:tr w:rsidR="00A02265" w:rsidRPr="005A37E7" w:rsidTr="007B57C0">
        <w:tc>
          <w:tcPr>
            <w:tcW w:w="4582" w:type="dxa"/>
          </w:tcPr>
          <w:p w:rsidR="00A02265" w:rsidRPr="005A37E7" w:rsidRDefault="00A02265" w:rsidP="00B223D9">
            <w:pPr>
              <w:rPr>
                <w:b/>
              </w:rPr>
            </w:pPr>
            <w:r w:rsidRPr="005A37E7">
              <w:rPr>
                <w:b/>
              </w:rPr>
              <w:t>Majorité AGE</w:t>
            </w:r>
          </w:p>
        </w:tc>
        <w:tc>
          <w:tcPr>
            <w:tcW w:w="4582" w:type="dxa"/>
          </w:tcPr>
          <w:p w:rsidR="00A02265" w:rsidRPr="005A37E7" w:rsidRDefault="00A02265" w:rsidP="002B4E94">
            <w:pPr>
              <w:autoSpaceDE w:val="0"/>
              <w:autoSpaceDN w:val="0"/>
              <w:adjustRightInd w:val="0"/>
              <w:spacing w:beforeLines="60" w:before="144" w:after="0"/>
            </w:pPr>
            <w:r w:rsidRPr="005A37E7">
              <w:t>Délibérations à caractère extraordinaire prises à la majorité qualifiée des deux tiers.</w:t>
            </w:r>
          </w:p>
        </w:tc>
        <w:tc>
          <w:tcPr>
            <w:tcW w:w="4582" w:type="dxa"/>
          </w:tcPr>
          <w:p w:rsidR="00A02265" w:rsidRPr="005A37E7" w:rsidRDefault="00A02265" w:rsidP="002B4E94">
            <w:pPr>
              <w:autoSpaceDE w:val="0"/>
              <w:autoSpaceDN w:val="0"/>
              <w:adjustRightInd w:val="0"/>
              <w:spacing w:beforeLines="60" w:before="144" w:after="0"/>
            </w:pPr>
            <w:r w:rsidRPr="005A37E7">
              <w:t>-</w:t>
            </w:r>
          </w:p>
        </w:tc>
      </w:tr>
      <w:tr w:rsidR="00A02265" w:rsidRPr="005A37E7" w:rsidTr="007B57C0">
        <w:tc>
          <w:tcPr>
            <w:tcW w:w="4582" w:type="dxa"/>
          </w:tcPr>
          <w:p w:rsidR="00A02265" w:rsidRPr="005A37E7" w:rsidRDefault="00A02265" w:rsidP="00B223D9">
            <w:pPr>
              <w:rPr>
                <w:b/>
              </w:rPr>
            </w:pPr>
            <w:r w:rsidRPr="005A37E7">
              <w:rPr>
                <w:b/>
              </w:rPr>
              <w:t>Décisions AGO</w:t>
            </w:r>
          </w:p>
        </w:tc>
        <w:tc>
          <w:tcPr>
            <w:tcW w:w="4582" w:type="dxa"/>
          </w:tcPr>
          <w:p w:rsidR="00A02265" w:rsidRPr="005A37E7" w:rsidRDefault="00A02265" w:rsidP="002B4E94">
            <w:pPr>
              <w:spacing w:beforeLines="60" w:before="144" w:after="0"/>
            </w:pPr>
            <w:r w:rsidRPr="00BB141B">
              <w:rPr>
                <w:u w:val="single"/>
              </w:rPr>
              <w:t>Délibérations à caractère ordinaire (relevant d’une AGO)</w:t>
            </w:r>
            <w:r w:rsidRPr="005A37E7">
              <w:t>:</w:t>
            </w:r>
          </w:p>
          <w:p w:rsidR="00A02265" w:rsidRPr="005A37E7" w:rsidRDefault="00A02265" w:rsidP="002B4E94">
            <w:pPr>
              <w:spacing w:beforeLines="60" w:before="144" w:after="0"/>
            </w:pPr>
            <w:r w:rsidRPr="005A37E7">
              <w:t>a) approbation des comptes annuels et affectation du résultat;</w:t>
            </w:r>
          </w:p>
          <w:p w:rsidR="00A02265" w:rsidRPr="005A37E7" w:rsidRDefault="00A02265" w:rsidP="002B4E94">
            <w:pPr>
              <w:spacing w:beforeLines="60" w:before="144" w:after="0"/>
            </w:pPr>
            <w:r w:rsidRPr="005A37E7">
              <w:t>b) nomination des Commissaires aux comptes;</w:t>
            </w:r>
          </w:p>
          <w:p w:rsidR="00A02265" w:rsidRPr="005A37E7" w:rsidRDefault="00A02265" w:rsidP="002B4E94">
            <w:pPr>
              <w:spacing w:beforeLines="60" w:before="144" w:after="0"/>
            </w:pPr>
            <w:r w:rsidRPr="005A37E7">
              <w:lastRenderedPageBreak/>
              <w:t>c) nomination du Président;</w:t>
            </w:r>
          </w:p>
          <w:p w:rsidR="00A02265" w:rsidRPr="005A37E7" w:rsidRDefault="00A02265" w:rsidP="002B4E94">
            <w:pPr>
              <w:spacing w:beforeLines="60" w:before="144" w:after="0"/>
            </w:pPr>
            <w:r w:rsidRPr="005A37E7">
              <w:t>d) approbation des conventions réglementées;</w:t>
            </w:r>
          </w:p>
          <w:p w:rsidR="00A02265" w:rsidRPr="005A37E7" w:rsidRDefault="00A02265" w:rsidP="002B4E94">
            <w:pPr>
              <w:spacing w:beforeLines="60" w:before="144" w:after="0"/>
            </w:pPr>
            <w:r w:rsidRPr="005A37E7">
              <w:t>e) nomination et révocation des membres du Comité de surveillance;</w:t>
            </w:r>
          </w:p>
          <w:p w:rsidR="00A02265" w:rsidRPr="005A37E7" w:rsidRDefault="00A02265" w:rsidP="002B4E94">
            <w:pPr>
              <w:spacing w:beforeLines="60" w:before="144" w:after="0"/>
            </w:pPr>
            <w:r w:rsidRPr="005A37E7">
              <w:t>f) transfert du siège social</w:t>
            </w:r>
          </w:p>
          <w:p w:rsidR="00A02265" w:rsidRPr="005A37E7" w:rsidRDefault="00A02265" w:rsidP="002B4E94">
            <w:pPr>
              <w:spacing w:beforeLines="60" w:before="144" w:after="0"/>
            </w:pPr>
          </w:p>
        </w:tc>
        <w:tc>
          <w:tcPr>
            <w:tcW w:w="4582" w:type="dxa"/>
          </w:tcPr>
          <w:p w:rsidR="00A02265" w:rsidRPr="005A37E7" w:rsidRDefault="00A02265" w:rsidP="002B4E94">
            <w:pPr>
              <w:autoSpaceDE w:val="0"/>
              <w:autoSpaceDN w:val="0"/>
              <w:adjustRightInd w:val="0"/>
              <w:spacing w:beforeLines="60" w:before="144" w:after="0"/>
            </w:pPr>
            <w:commentRangeStart w:id="19"/>
            <w:r w:rsidRPr="005A37E7">
              <w:lastRenderedPageBreak/>
              <w:t xml:space="preserve">Une liste des décisions et de l’organe décisionnaire est donnée en </w:t>
            </w:r>
            <w:r>
              <w:t>a</w:t>
            </w:r>
            <w:r w:rsidRPr="005A37E7">
              <w:t>nnexe</w:t>
            </w:r>
            <w:r>
              <w:t>.</w:t>
            </w:r>
            <w:commentRangeEnd w:id="19"/>
            <w:r w:rsidR="0002018B">
              <w:rPr>
                <w:rStyle w:val="Marquedecommentaire"/>
              </w:rPr>
              <w:commentReference w:id="19"/>
            </w:r>
          </w:p>
          <w:p w:rsidR="00A02265" w:rsidRPr="005A37E7" w:rsidRDefault="00A02265" w:rsidP="002B4E94">
            <w:pPr>
              <w:autoSpaceDE w:val="0"/>
              <w:autoSpaceDN w:val="0"/>
              <w:adjustRightInd w:val="0"/>
              <w:spacing w:beforeLines="60" w:before="144" w:after="0"/>
            </w:pPr>
            <w:commentRangeStart w:id="20"/>
            <w:r w:rsidRPr="005A37E7">
              <w:t xml:space="preserve">L’approbation de conventions réglementées (notamment, les contrats d’approvisionnement, de vente et de prestation de services devant être conclus) doit se faire au niveau du Comité de </w:t>
            </w:r>
            <w:commentRangeEnd w:id="20"/>
            <w:r w:rsidR="00860E16">
              <w:rPr>
                <w:rStyle w:val="Marquedecommentaire"/>
              </w:rPr>
              <w:lastRenderedPageBreak/>
              <w:commentReference w:id="20"/>
            </w:r>
            <w:r w:rsidRPr="005A37E7">
              <w:t>surveillance</w:t>
            </w:r>
            <w:r>
              <w:t>.</w:t>
            </w:r>
          </w:p>
          <w:p w:rsidR="00A02265" w:rsidRPr="005A37E7" w:rsidRDefault="00A02265" w:rsidP="002B4E94">
            <w:pPr>
              <w:autoSpaceDE w:val="0"/>
              <w:autoSpaceDN w:val="0"/>
              <w:adjustRightInd w:val="0"/>
              <w:spacing w:beforeLines="60" w:before="144" w:after="0"/>
            </w:pPr>
            <w:r w:rsidRPr="005A37E7">
              <w:t>Le transfert du siège social doit se faire au niveau de l’AGE</w:t>
            </w:r>
            <w:r>
              <w:t>.</w:t>
            </w:r>
          </w:p>
        </w:tc>
      </w:tr>
      <w:tr w:rsidR="00A02265" w:rsidRPr="005A37E7" w:rsidTr="007B57C0">
        <w:tc>
          <w:tcPr>
            <w:tcW w:w="4582" w:type="dxa"/>
          </w:tcPr>
          <w:p w:rsidR="00A02265" w:rsidRPr="005A37E7" w:rsidRDefault="00A02265" w:rsidP="00B223D9">
            <w:pPr>
              <w:rPr>
                <w:b/>
              </w:rPr>
            </w:pPr>
            <w:r w:rsidRPr="005A37E7">
              <w:rPr>
                <w:b/>
              </w:rPr>
              <w:lastRenderedPageBreak/>
              <w:t>Décisions AGE</w:t>
            </w:r>
          </w:p>
        </w:tc>
        <w:tc>
          <w:tcPr>
            <w:tcW w:w="4582" w:type="dxa"/>
          </w:tcPr>
          <w:p w:rsidR="00A02265" w:rsidRPr="00BB141B" w:rsidRDefault="00A02265" w:rsidP="002B4E94">
            <w:pPr>
              <w:spacing w:beforeLines="60" w:before="144" w:after="0"/>
              <w:rPr>
                <w:u w:val="single"/>
              </w:rPr>
            </w:pPr>
            <w:r w:rsidRPr="00BB141B">
              <w:rPr>
                <w:u w:val="single"/>
              </w:rPr>
              <w:t>Délibérations à caractère extraordinaire (relevant d’une AGE):</w:t>
            </w:r>
          </w:p>
          <w:p w:rsidR="00A02265" w:rsidRPr="005A37E7" w:rsidRDefault="00A02265" w:rsidP="002B4E94">
            <w:pPr>
              <w:spacing w:beforeLines="60" w:before="144" w:after="0"/>
            </w:pPr>
            <w:r w:rsidRPr="005A37E7">
              <w:t>g) augmentation, amortissement et réduction du capital social;</w:t>
            </w:r>
          </w:p>
          <w:p w:rsidR="00A02265" w:rsidRPr="005A37E7" w:rsidRDefault="00A02265" w:rsidP="002B4E94">
            <w:pPr>
              <w:spacing w:beforeLines="60" w:before="144" w:after="0"/>
            </w:pPr>
            <w:r w:rsidRPr="005A37E7">
              <w:t>h) fusion, scission ou apport partiel d’actif;</w:t>
            </w:r>
          </w:p>
          <w:p w:rsidR="00A02265" w:rsidRPr="005A37E7" w:rsidRDefault="00A02265" w:rsidP="002B4E94">
            <w:pPr>
              <w:spacing w:beforeLines="60" w:before="144" w:after="0"/>
            </w:pPr>
            <w:r w:rsidRPr="005A37E7">
              <w:t>i) toute décision modifiant les statuts</w:t>
            </w:r>
          </w:p>
          <w:p w:rsidR="00A02265" w:rsidRPr="005A37E7" w:rsidRDefault="00A02265" w:rsidP="002B4E94">
            <w:pPr>
              <w:spacing w:beforeLines="60" w:before="144" w:after="0"/>
            </w:pPr>
            <w:r w:rsidRPr="005A37E7">
              <w:t>j) liquidation, dissolution de la Société</w:t>
            </w:r>
          </w:p>
          <w:p w:rsidR="00A02265" w:rsidRPr="005A37E7" w:rsidRDefault="00A02265" w:rsidP="002B4E94">
            <w:pPr>
              <w:spacing w:beforeLines="60" w:before="144" w:after="0"/>
            </w:pPr>
            <w:r w:rsidRPr="005A37E7">
              <w:t>k) transformation de la Société;</w:t>
            </w:r>
          </w:p>
          <w:p w:rsidR="00A02265" w:rsidRPr="005A37E7" w:rsidRDefault="00A02265" w:rsidP="002B4E94">
            <w:pPr>
              <w:spacing w:beforeLines="60" w:before="144" w:after="0"/>
            </w:pPr>
            <w:r w:rsidRPr="005A37E7">
              <w:t>l) décision augmentant les engagements des Associés ;</w:t>
            </w:r>
          </w:p>
        </w:tc>
        <w:tc>
          <w:tcPr>
            <w:tcW w:w="4582" w:type="dxa"/>
          </w:tcPr>
          <w:p w:rsidR="00A02265" w:rsidRPr="005A37E7" w:rsidRDefault="00A02265" w:rsidP="002B4E94">
            <w:pPr>
              <w:autoSpaceDE w:val="0"/>
              <w:autoSpaceDN w:val="0"/>
              <w:adjustRightInd w:val="0"/>
              <w:spacing w:beforeLines="60" w:before="144" w:after="0"/>
            </w:pPr>
            <w:r w:rsidRPr="005A37E7">
              <w:t>Une liste des décisions et de l’organe décisionnaire est donnée en annexe</w:t>
            </w:r>
            <w:r>
              <w:t>.</w:t>
            </w:r>
          </w:p>
          <w:p w:rsidR="00A02265" w:rsidRPr="005A37E7" w:rsidRDefault="00A02265" w:rsidP="002B4E94">
            <w:pPr>
              <w:autoSpaceDE w:val="0"/>
              <w:autoSpaceDN w:val="0"/>
              <w:adjustRightInd w:val="0"/>
              <w:spacing w:beforeLines="60" w:before="144" w:after="0"/>
            </w:pPr>
            <w:commentRangeStart w:id="21"/>
            <w:r w:rsidRPr="005A37E7">
              <w:t>Toute  décision augmentant les engagements des Associés doit être prise à l’unanimité</w:t>
            </w:r>
            <w:r>
              <w:t>.</w:t>
            </w:r>
            <w:commentRangeEnd w:id="21"/>
            <w:r w:rsidR="00491EB1">
              <w:rPr>
                <w:rStyle w:val="Marquedecommentaire"/>
              </w:rPr>
              <w:commentReference w:id="21"/>
            </w:r>
          </w:p>
        </w:tc>
      </w:tr>
      <w:tr w:rsidR="00A02265" w:rsidRPr="005A37E7" w:rsidTr="007B57C0">
        <w:tc>
          <w:tcPr>
            <w:tcW w:w="4582" w:type="dxa"/>
          </w:tcPr>
          <w:p w:rsidR="00A02265" w:rsidRPr="005A37E7" w:rsidRDefault="00A02265" w:rsidP="00B223D9">
            <w:pPr>
              <w:rPr>
                <w:b/>
              </w:rPr>
            </w:pPr>
            <w:r w:rsidRPr="005A37E7">
              <w:rPr>
                <w:b/>
              </w:rPr>
              <w:t>Contrôle des comptes</w:t>
            </w:r>
          </w:p>
        </w:tc>
        <w:tc>
          <w:tcPr>
            <w:tcW w:w="4582" w:type="dxa"/>
          </w:tcPr>
          <w:p w:rsidR="00A02265" w:rsidRPr="005A37E7" w:rsidRDefault="00A02265" w:rsidP="002B4E94">
            <w:pPr>
              <w:spacing w:beforeLines="60" w:before="144" w:after="0"/>
            </w:pPr>
            <w:r w:rsidRPr="005A37E7">
              <w:t>Commissaires aux comptes renouvelables tous les 6 ans.</w:t>
            </w:r>
          </w:p>
        </w:tc>
        <w:tc>
          <w:tcPr>
            <w:tcW w:w="4582" w:type="dxa"/>
          </w:tcPr>
          <w:p w:rsidR="00A02265" w:rsidRPr="005A37E7" w:rsidRDefault="00A02265" w:rsidP="002B4E94">
            <w:pPr>
              <w:autoSpaceDE w:val="0"/>
              <w:autoSpaceDN w:val="0"/>
              <w:adjustRightInd w:val="0"/>
              <w:spacing w:beforeLines="60" w:before="144" w:after="0"/>
            </w:pPr>
          </w:p>
        </w:tc>
      </w:tr>
      <w:tr w:rsidR="00A02265" w:rsidRPr="005A37E7" w:rsidTr="007B57C0">
        <w:tc>
          <w:tcPr>
            <w:tcW w:w="4582" w:type="dxa"/>
          </w:tcPr>
          <w:p w:rsidR="00A02265" w:rsidRPr="005A37E7" w:rsidRDefault="00A02265" w:rsidP="00B223D9">
            <w:pPr>
              <w:rPr>
                <w:b/>
              </w:rPr>
            </w:pPr>
            <w:r w:rsidRPr="005A37E7">
              <w:rPr>
                <w:b/>
              </w:rPr>
              <w:t>Droit d’information</w:t>
            </w:r>
          </w:p>
        </w:tc>
        <w:tc>
          <w:tcPr>
            <w:tcW w:w="4582" w:type="dxa"/>
          </w:tcPr>
          <w:p w:rsidR="00A02265" w:rsidRPr="005A37E7" w:rsidRDefault="00A02265" w:rsidP="002B4E94">
            <w:pPr>
              <w:spacing w:beforeLines="60" w:before="144" w:after="0"/>
            </w:pPr>
            <w:commentRangeStart w:id="22"/>
            <w:r w:rsidRPr="005A37E7">
              <w:t>-</w:t>
            </w:r>
          </w:p>
        </w:tc>
        <w:tc>
          <w:tcPr>
            <w:tcW w:w="4582" w:type="dxa"/>
          </w:tcPr>
          <w:p w:rsidR="00A02265" w:rsidRPr="005A37E7" w:rsidRDefault="00A02265" w:rsidP="002B4E94">
            <w:pPr>
              <w:autoSpaceDE w:val="0"/>
              <w:autoSpaceDN w:val="0"/>
              <w:adjustRightInd w:val="0"/>
              <w:spacing w:beforeLines="60" w:before="144" w:after="0"/>
            </w:pPr>
            <w:r w:rsidRPr="005A37E7">
              <w:t>Bénéficiaires : membre du CS</w:t>
            </w:r>
          </w:p>
          <w:p w:rsidR="00A02265" w:rsidRPr="005A37E7" w:rsidRDefault="00A02265" w:rsidP="002B4E94">
            <w:pPr>
              <w:autoSpaceDE w:val="0"/>
              <w:autoSpaceDN w:val="0"/>
              <w:adjustRightInd w:val="0"/>
              <w:spacing w:beforeLines="60" w:before="144" w:after="0"/>
            </w:pPr>
            <w:proofErr w:type="spellStart"/>
            <w:r w:rsidRPr="005A37E7">
              <w:t>Reporting</w:t>
            </w:r>
            <w:proofErr w:type="spellEnd"/>
            <w:r w:rsidRPr="005A37E7">
              <w:t> :</w:t>
            </w:r>
          </w:p>
          <w:p w:rsidR="00A02265" w:rsidRPr="005A37E7" w:rsidRDefault="00A02265" w:rsidP="002B4E94">
            <w:pPr>
              <w:pStyle w:val="Paragraphedeliste"/>
              <w:numPr>
                <w:ilvl w:val="0"/>
                <w:numId w:val="29"/>
              </w:numPr>
              <w:autoSpaceDE w:val="0"/>
              <w:autoSpaceDN w:val="0"/>
              <w:adjustRightInd w:val="0"/>
              <w:spacing w:beforeLines="60" w:before="144" w:after="200" w:line="276" w:lineRule="auto"/>
              <w:jc w:val="left"/>
              <w:rPr>
                <w:rFonts w:asciiTheme="minorHAnsi" w:eastAsiaTheme="minorHAnsi" w:hAnsiTheme="minorHAnsi" w:cstheme="minorBidi"/>
              </w:rPr>
            </w:pPr>
            <w:proofErr w:type="spellStart"/>
            <w:r w:rsidRPr="005A37E7">
              <w:rPr>
                <w:rFonts w:asciiTheme="minorHAnsi" w:eastAsiaTheme="minorHAnsi" w:hAnsiTheme="minorHAnsi" w:cstheme="minorBidi"/>
              </w:rPr>
              <w:t>Reporting</w:t>
            </w:r>
            <w:proofErr w:type="spellEnd"/>
            <w:r w:rsidRPr="005A37E7">
              <w:rPr>
                <w:rFonts w:asciiTheme="minorHAnsi" w:eastAsiaTheme="minorHAnsi" w:hAnsiTheme="minorHAnsi" w:cstheme="minorBidi"/>
              </w:rPr>
              <w:t xml:space="preserve"> financier classique mis en </w:t>
            </w:r>
            <w:r w:rsidRPr="005A37E7">
              <w:rPr>
                <w:rFonts w:asciiTheme="minorHAnsi" w:eastAsiaTheme="minorHAnsi" w:hAnsiTheme="minorHAnsi" w:cstheme="minorBidi"/>
              </w:rPr>
              <w:lastRenderedPageBreak/>
              <w:t>œuvre par le Président et le Directeur Général d’Ecotitanium</w:t>
            </w:r>
          </w:p>
          <w:p w:rsidR="00A02265" w:rsidRPr="005A37E7" w:rsidRDefault="00A02265" w:rsidP="002B4E94">
            <w:pPr>
              <w:pStyle w:val="Paragraphedeliste"/>
              <w:numPr>
                <w:ilvl w:val="0"/>
                <w:numId w:val="29"/>
              </w:numPr>
              <w:autoSpaceDE w:val="0"/>
              <w:autoSpaceDN w:val="0"/>
              <w:adjustRightInd w:val="0"/>
              <w:spacing w:beforeLines="60" w:before="144"/>
              <w:jc w:val="left"/>
              <w:rPr>
                <w:rFonts w:asciiTheme="minorHAnsi" w:eastAsiaTheme="minorHAnsi" w:hAnsiTheme="minorHAnsi" w:cstheme="minorBidi"/>
              </w:rPr>
            </w:pPr>
            <w:proofErr w:type="spellStart"/>
            <w:r w:rsidRPr="005A37E7">
              <w:rPr>
                <w:rFonts w:asciiTheme="minorHAnsi" w:eastAsiaTheme="minorHAnsi" w:hAnsiTheme="minorHAnsi" w:cstheme="minorBidi"/>
              </w:rPr>
              <w:t>Reporting</w:t>
            </w:r>
            <w:proofErr w:type="spellEnd"/>
            <w:r w:rsidRPr="005A37E7">
              <w:rPr>
                <w:rFonts w:asciiTheme="minorHAnsi" w:eastAsiaTheme="minorHAnsi" w:hAnsiTheme="minorHAnsi" w:cstheme="minorBidi"/>
              </w:rPr>
              <w:t xml:space="preserve"> spécifique :</w:t>
            </w:r>
          </w:p>
          <w:p w:rsidR="00A02265" w:rsidRPr="005A37E7" w:rsidRDefault="00A02265" w:rsidP="002B4E94">
            <w:pPr>
              <w:pStyle w:val="Paragraphedeliste"/>
              <w:numPr>
                <w:ilvl w:val="1"/>
                <w:numId w:val="29"/>
              </w:numPr>
              <w:autoSpaceDE w:val="0"/>
              <w:autoSpaceDN w:val="0"/>
              <w:adjustRightInd w:val="0"/>
              <w:spacing w:beforeLines="60" w:before="144"/>
              <w:jc w:val="left"/>
              <w:rPr>
                <w:rFonts w:asciiTheme="minorHAnsi" w:eastAsiaTheme="minorHAnsi" w:hAnsiTheme="minorHAnsi" w:cstheme="minorBidi"/>
              </w:rPr>
            </w:pPr>
            <w:r w:rsidRPr="005A37E7">
              <w:rPr>
                <w:rFonts w:asciiTheme="minorHAnsi" w:eastAsiaTheme="minorHAnsi" w:hAnsiTheme="minorHAnsi" w:cstheme="minorBidi"/>
              </w:rPr>
              <w:t xml:space="preserve">Un rapport trimestriel comprenant les informations principales relatives à la Société couvrant les aspects suivants : Financier et opérationnel, EHS et RH, et dressé en conformité avec les pratiques du Groupe UKAD/A&amp;D. </w:t>
            </w:r>
          </w:p>
          <w:p w:rsidR="00A02265" w:rsidRPr="005A37E7" w:rsidRDefault="00A02265" w:rsidP="002B4E94">
            <w:pPr>
              <w:pStyle w:val="Paragraphedeliste"/>
              <w:numPr>
                <w:ilvl w:val="1"/>
                <w:numId w:val="29"/>
              </w:numPr>
              <w:autoSpaceDE w:val="0"/>
              <w:autoSpaceDN w:val="0"/>
              <w:adjustRightInd w:val="0"/>
              <w:spacing w:beforeLines="60" w:before="144"/>
              <w:jc w:val="left"/>
              <w:rPr>
                <w:rFonts w:asciiTheme="minorHAnsi" w:eastAsiaTheme="minorHAnsi" w:hAnsiTheme="minorHAnsi" w:cstheme="minorBidi"/>
              </w:rPr>
            </w:pPr>
            <w:r w:rsidRPr="005A37E7">
              <w:rPr>
                <w:rFonts w:asciiTheme="minorHAnsi" w:eastAsiaTheme="minorHAnsi" w:hAnsiTheme="minorHAnsi" w:cstheme="minorBidi"/>
              </w:rPr>
              <w:t>un rapport analytique afférent aux causes et plans d’actions correctifs de tout accident survenu dans l’</w:t>
            </w:r>
            <w:r>
              <w:rPr>
                <w:rFonts w:asciiTheme="minorHAnsi" w:eastAsiaTheme="minorHAnsi" w:hAnsiTheme="minorHAnsi" w:cstheme="minorBidi"/>
              </w:rPr>
              <w:t>u</w:t>
            </w:r>
            <w:r w:rsidRPr="005A37E7">
              <w:rPr>
                <w:rFonts w:asciiTheme="minorHAnsi" w:eastAsiaTheme="minorHAnsi" w:hAnsiTheme="minorHAnsi" w:cstheme="minorBidi"/>
              </w:rPr>
              <w:t xml:space="preserve">sine, </w:t>
            </w:r>
          </w:p>
          <w:p w:rsidR="00A02265" w:rsidRPr="005A37E7" w:rsidRDefault="00A02265" w:rsidP="002B4E94">
            <w:pPr>
              <w:pStyle w:val="Paragraphedeliste"/>
              <w:numPr>
                <w:ilvl w:val="1"/>
                <w:numId w:val="29"/>
              </w:numPr>
              <w:autoSpaceDE w:val="0"/>
              <w:autoSpaceDN w:val="0"/>
              <w:adjustRightInd w:val="0"/>
              <w:spacing w:beforeLines="60" w:before="144"/>
              <w:jc w:val="left"/>
              <w:rPr>
                <w:rFonts w:asciiTheme="minorHAnsi" w:eastAsiaTheme="minorHAnsi" w:hAnsiTheme="minorHAnsi" w:cstheme="minorBidi"/>
              </w:rPr>
            </w:pPr>
            <w:r w:rsidRPr="005A37E7">
              <w:rPr>
                <w:rFonts w:asciiTheme="minorHAnsi" w:eastAsiaTheme="minorHAnsi" w:hAnsiTheme="minorHAnsi" w:cstheme="minorBidi"/>
              </w:rPr>
              <w:t>Compte sociaux non audités à Clôture +45j</w:t>
            </w:r>
          </w:p>
          <w:p w:rsidR="00A02265" w:rsidRPr="005A37E7" w:rsidRDefault="00A02265" w:rsidP="002B4E94">
            <w:pPr>
              <w:pStyle w:val="Paragraphedeliste"/>
              <w:numPr>
                <w:ilvl w:val="1"/>
                <w:numId w:val="29"/>
              </w:numPr>
              <w:autoSpaceDE w:val="0"/>
              <w:autoSpaceDN w:val="0"/>
              <w:adjustRightInd w:val="0"/>
              <w:spacing w:beforeLines="60" w:before="144"/>
              <w:jc w:val="left"/>
              <w:rPr>
                <w:rFonts w:asciiTheme="minorHAnsi" w:eastAsiaTheme="minorHAnsi" w:hAnsiTheme="minorHAnsi" w:cstheme="minorBidi"/>
              </w:rPr>
            </w:pPr>
            <w:r w:rsidRPr="005A37E7">
              <w:rPr>
                <w:rFonts w:asciiTheme="minorHAnsi" w:eastAsiaTheme="minorHAnsi" w:hAnsiTheme="minorHAnsi" w:cstheme="minorBidi"/>
              </w:rPr>
              <w:t>Compte sociaux audités à Clôture +90j</w:t>
            </w:r>
          </w:p>
          <w:p w:rsidR="00A02265" w:rsidRPr="005A37E7" w:rsidRDefault="00A02265" w:rsidP="002B4E94">
            <w:pPr>
              <w:pStyle w:val="Paragraphedeliste"/>
              <w:numPr>
                <w:ilvl w:val="1"/>
                <w:numId w:val="29"/>
              </w:numPr>
              <w:autoSpaceDE w:val="0"/>
              <w:autoSpaceDN w:val="0"/>
              <w:adjustRightInd w:val="0"/>
              <w:spacing w:beforeLines="60" w:before="144"/>
              <w:jc w:val="left"/>
              <w:rPr>
                <w:rFonts w:asciiTheme="minorHAnsi" w:eastAsiaTheme="minorHAnsi" w:hAnsiTheme="minorHAnsi" w:cstheme="minorBidi"/>
              </w:rPr>
            </w:pPr>
            <w:r w:rsidRPr="005A37E7">
              <w:rPr>
                <w:rFonts w:asciiTheme="minorHAnsi" w:eastAsiaTheme="minorHAnsi" w:hAnsiTheme="minorHAnsi" w:cstheme="minorBidi"/>
              </w:rPr>
              <w:t xml:space="preserve">Rapports des </w:t>
            </w:r>
            <w:proofErr w:type="spellStart"/>
            <w:r w:rsidRPr="005A37E7">
              <w:rPr>
                <w:rFonts w:asciiTheme="minorHAnsi" w:eastAsiaTheme="minorHAnsi" w:hAnsiTheme="minorHAnsi" w:cstheme="minorBidi"/>
              </w:rPr>
              <w:t>CACs</w:t>
            </w:r>
            <w:proofErr w:type="spellEnd"/>
            <w:r w:rsidRPr="005A37E7">
              <w:rPr>
                <w:rFonts w:asciiTheme="minorHAnsi" w:eastAsiaTheme="minorHAnsi" w:hAnsiTheme="minorHAnsi" w:cstheme="minorBidi"/>
              </w:rPr>
              <w:t xml:space="preserve"> + Management </w:t>
            </w:r>
            <w:proofErr w:type="spellStart"/>
            <w:r w:rsidRPr="005A37E7">
              <w:rPr>
                <w:rFonts w:asciiTheme="minorHAnsi" w:eastAsiaTheme="minorHAnsi" w:hAnsiTheme="minorHAnsi" w:cstheme="minorBidi"/>
              </w:rPr>
              <w:t>Letters</w:t>
            </w:r>
            <w:proofErr w:type="spellEnd"/>
            <w:r w:rsidRPr="005A37E7">
              <w:rPr>
                <w:rFonts w:asciiTheme="minorHAnsi" w:eastAsiaTheme="minorHAnsi" w:hAnsiTheme="minorHAnsi" w:cstheme="minorBidi"/>
              </w:rPr>
              <w:t xml:space="preserve"> adressées par les </w:t>
            </w:r>
            <w:proofErr w:type="spellStart"/>
            <w:r w:rsidRPr="005A37E7">
              <w:rPr>
                <w:rFonts w:asciiTheme="minorHAnsi" w:eastAsiaTheme="minorHAnsi" w:hAnsiTheme="minorHAnsi" w:cstheme="minorBidi"/>
              </w:rPr>
              <w:t>CACs</w:t>
            </w:r>
            <w:proofErr w:type="spellEnd"/>
            <w:r w:rsidRPr="005A37E7">
              <w:rPr>
                <w:rFonts w:asciiTheme="minorHAnsi" w:eastAsiaTheme="minorHAnsi" w:hAnsiTheme="minorHAnsi" w:cstheme="minorBidi"/>
              </w:rPr>
              <w:t xml:space="preserve"> à Clôture + 120j et au moins [●] jours avant AG</w:t>
            </w:r>
            <w:commentRangeEnd w:id="22"/>
            <w:r w:rsidR="00307117">
              <w:rPr>
                <w:rStyle w:val="Marquedecommentaire"/>
                <w:rFonts w:asciiTheme="minorHAnsi" w:eastAsiaTheme="minorHAnsi" w:hAnsiTheme="minorHAnsi" w:cstheme="minorBidi"/>
              </w:rPr>
              <w:commentReference w:id="22"/>
            </w:r>
          </w:p>
        </w:tc>
      </w:tr>
      <w:tr w:rsidR="00A02265" w:rsidRPr="005A37E7" w:rsidTr="009E5268">
        <w:tc>
          <w:tcPr>
            <w:tcW w:w="13746" w:type="dxa"/>
            <w:gridSpan w:val="3"/>
            <w:shd w:val="clear" w:color="auto" w:fill="C6D9F1" w:themeFill="text2" w:themeFillTint="33"/>
          </w:tcPr>
          <w:p w:rsidR="00A02265" w:rsidRPr="005A37E7" w:rsidRDefault="00A02265" w:rsidP="009708D8">
            <w:pPr>
              <w:keepNext/>
              <w:rPr>
                <w:b/>
              </w:rPr>
            </w:pPr>
          </w:p>
          <w:p w:rsidR="00A02265" w:rsidRPr="005A37E7" w:rsidRDefault="00A02265" w:rsidP="009708D8">
            <w:pPr>
              <w:keepNext/>
              <w:rPr>
                <w:b/>
              </w:rPr>
            </w:pPr>
            <w:r w:rsidRPr="005A37E7">
              <w:rPr>
                <w:b/>
              </w:rPr>
              <w:t>Liquidité des actionnaires</w:t>
            </w:r>
          </w:p>
        </w:tc>
      </w:tr>
      <w:tr w:rsidR="00A02265" w:rsidRPr="005A37E7" w:rsidTr="007B57C0">
        <w:tc>
          <w:tcPr>
            <w:tcW w:w="4582" w:type="dxa"/>
          </w:tcPr>
          <w:p w:rsidR="00A02265" w:rsidRPr="005A37E7" w:rsidRDefault="00A02265" w:rsidP="009708D8">
            <w:pPr>
              <w:keepNext/>
              <w:rPr>
                <w:b/>
              </w:rPr>
            </w:pPr>
            <w:r w:rsidRPr="005A37E7">
              <w:rPr>
                <w:b/>
              </w:rPr>
              <w:t xml:space="preserve">Inaliénabilité </w:t>
            </w:r>
          </w:p>
        </w:tc>
        <w:tc>
          <w:tcPr>
            <w:tcW w:w="4582" w:type="dxa"/>
          </w:tcPr>
          <w:p w:rsidR="00A02265" w:rsidRPr="005A37E7" w:rsidRDefault="00A02265" w:rsidP="009708D8">
            <w:pPr>
              <w:keepNext/>
            </w:pPr>
          </w:p>
        </w:tc>
        <w:tc>
          <w:tcPr>
            <w:tcW w:w="4582" w:type="dxa"/>
          </w:tcPr>
          <w:p w:rsidR="00A02265" w:rsidRPr="005A37E7" w:rsidRDefault="00A02265" w:rsidP="009708D8">
            <w:pPr>
              <w:keepNext/>
            </w:pPr>
            <w:commentRangeStart w:id="23"/>
            <w:r w:rsidRPr="005A37E7">
              <w:t>A la charge de l’ensemble des associés</w:t>
            </w:r>
            <w:commentRangeEnd w:id="23"/>
            <w:r w:rsidR="007612E6">
              <w:rPr>
                <w:rStyle w:val="Marquedecommentaire"/>
              </w:rPr>
              <w:commentReference w:id="23"/>
            </w:r>
          </w:p>
          <w:p w:rsidR="00A02265" w:rsidRPr="005A37E7" w:rsidRDefault="00A02265" w:rsidP="009708D8">
            <w:pPr>
              <w:keepNext/>
            </w:pPr>
            <w:r w:rsidRPr="005A37E7">
              <w:t>Durée : 9 ans ? Etant donnée la typologie de l’investissement, il nous semble logique de prévoir une période d’inaliénabilité</w:t>
            </w:r>
          </w:p>
          <w:p w:rsidR="00A02265" w:rsidRPr="005A37E7" w:rsidRDefault="00A02265" w:rsidP="009708D8">
            <w:pPr>
              <w:keepNext/>
            </w:pPr>
            <w:r w:rsidRPr="005A37E7">
              <w:t>Exception : Transfert libre</w:t>
            </w:r>
          </w:p>
        </w:tc>
      </w:tr>
      <w:tr w:rsidR="00A02265" w:rsidRPr="005A37E7" w:rsidTr="007B57C0">
        <w:tc>
          <w:tcPr>
            <w:tcW w:w="4582" w:type="dxa"/>
          </w:tcPr>
          <w:p w:rsidR="00A02265" w:rsidRPr="005A37E7" w:rsidRDefault="00A02265" w:rsidP="00B223D9">
            <w:pPr>
              <w:rPr>
                <w:b/>
              </w:rPr>
            </w:pPr>
            <w:r w:rsidRPr="005A37E7">
              <w:rPr>
                <w:b/>
              </w:rPr>
              <w:t>Transferts libres</w:t>
            </w:r>
          </w:p>
        </w:tc>
        <w:tc>
          <w:tcPr>
            <w:tcW w:w="4582" w:type="dxa"/>
          </w:tcPr>
          <w:p w:rsidR="00A02265" w:rsidRPr="005A37E7" w:rsidRDefault="00A02265" w:rsidP="002071C4">
            <w:r w:rsidRPr="005A37E7">
              <w:t>a) Les actions sont librement cessibles entre les Parties ou entre entités d’un même Groupe. N’est pas considérée comme tiers au sens du présent article toute société membre du "Groupe" du cédant au sens de l’article L. 233-3 (I) du code de commerce.</w:t>
            </w:r>
          </w:p>
          <w:p w:rsidR="00A02265" w:rsidRPr="005A37E7" w:rsidRDefault="00A02265" w:rsidP="002071C4">
            <w:r w:rsidRPr="005A37E7">
              <w:t>Toutefois, chaque cession intervenant dans ce cadre doit respecter les conditions suivantes :</w:t>
            </w:r>
          </w:p>
          <w:p w:rsidR="00A02265" w:rsidRPr="005A37E7" w:rsidRDefault="00A02265" w:rsidP="002071C4">
            <w:r w:rsidRPr="005A37E7">
              <w:t>- Le cédant doit apporter la preuve du contrôle par la Société Mère;</w:t>
            </w:r>
          </w:p>
          <w:p w:rsidR="00A02265" w:rsidRPr="005A37E7" w:rsidRDefault="00A02265" w:rsidP="002071C4">
            <w:r w:rsidRPr="005A37E7">
              <w:t>- La cession doit être constatée dans un acte comportant (i) une clause valide de rétrocession automatique au cédant notamment dans l'hypothèse où le cessionnaire viendrait à ne plus faire partie du Groupe de l’associé cédant.</w:t>
            </w:r>
          </w:p>
        </w:tc>
        <w:tc>
          <w:tcPr>
            <w:tcW w:w="4582" w:type="dxa"/>
          </w:tcPr>
          <w:p w:rsidR="00A02265" w:rsidRPr="005A37E7" w:rsidRDefault="00A02265" w:rsidP="002071C4">
            <w:commentRangeStart w:id="24"/>
            <w:r w:rsidRPr="005A37E7">
              <w:t>Pour l’ADEME, la notion de groupe désigne l’Etat français et ses démembrements en charge de la gestion, actuellement ou dans l’avenir, des crédits d’Investissements d’Avenir en ce compris notamment la CDC et ses filiales (FSI, CDC Entreprises…), la BPI, l’APE.</w:t>
            </w:r>
          </w:p>
          <w:p w:rsidR="00A02265" w:rsidRPr="005A37E7" w:rsidRDefault="00A02265" w:rsidP="002071C4">
            <w:r w:rsidRPr="005A37E7">
              <w:t>L’affilié devra adhérer au pacte d’associés.</w:t>
            </w:r>
          </w:p>
          <w:p w:rsidR="00A02265" w:rsidRPr="005A37E7" w:rsidRDefault="00A02265" w:rsidP="002071C4">
            <w:r w:rsidRPr="005A37E7">
              <w:t>La clause de cession automatique pour l’ADEME devra être adaptée. C’est en effet l’Etat qui est actionnaire et non l’ADEME qui n’est que son mandataire.</w:t>
            </w:r>
            <w:commentRangeEnd w:id="24"/>
            <w:r w:rsidR="002B6B1D">
              <w:rPr>
                <w:rStyle w:val="Marquedecommentaire"/>
              </w:rPr>
              <w:commentReference w:id="24"/>
            </w:r>
          </w:p>
          <w:p w:rsidR="00A02265" w:rsidRPr="005A37E7" w:rsidRDefault="00A02265" w:rsidP="002071C4">
            <w:r w:rsidRPr="005A37E7">
              <w:t>Les transferts libres ne peuvent faire l’objet de l’exercice d’un droit de préemption de l’une des parties</w:t>
            </w:r>
          </w:p>
          <w:p w:rsidR="00A02265" w:rsidRPr="005A37E7" w:rsidRDefault="00A02265" w:rsidP="002071C4">
            <w:pPr>
              <w:rPr>
                <w:b/>
              </w:rPr>
            </w:pPr>
            <w:commentRangeStart w:id="25"/>
            <w:r w:rsidRPr="005A37E7">
              <w:rPr>
                <w:b/>
              </w:rPr>
              <w:t>[</w:t>
            </w:r>
            <w:r w:rsidRPr="00563ED0">
              <w:rPr>
                <w:b/>
                <w:i/>
                <w:highlight w:val="yellow"/>
              </w:rPr>
              <w:t xml:space="preserve">Prévoir solidarité entre cédant et cessionnaire </w:t>
            </w:r>
            <w:r w:rsidRPr="00563ED0">
              <w:rPr>
                <w:b/>
                <w:i/>
                <w:highlight w:val="yellow"/>
              </w:rPr>
              <w:lastRenderedPageBreak/>
              <w:t>en cas de cession par UKAD à un membre de son Groupe ?</w:t>
            </w:r>
            <w:r w:rsidRPr="005A37E7">
              <w:rPr>
                <w:b/>
                <w:i/>
              </w:rPr>
              <w:t xml:space="preserve"> </w:t>
            </w:r>
            <w:r w:rsidRPr="005A37E7">
              <w:rPr>
                <w:b/>
                <w:i/>
                <w:highlight w:val="yellow"/>
              </w:rPr>
              <w:t>A discuter.</w:t>
            </w:r>
            <w:r w:rsidRPr="005A37E7">
              <w:rPr>
                <w:b/>
                <w:highlight w:val="yellow"/>
              </w:rPr>
              <w:t>]</w:t>
            </w:r>
            <w:commentRangeEnd w:id="25"/>
            <w:r w:rsidR="002B6B1D">
              <w:rPr>
                <w:rStyle w:val="Marquedecommentaire"/>
              </w:rPr>
              <w:commentReference w:id="25"/>
            </w:r>
          </w:p>
        </w:tc>
      </w:tr>
      <w:tr w:rsidR="00A02265" w:rsidRPr="005A37E7" w:rsidTr="009E5268">
        <w:tc>
          <w:tcPr>
            <w:tcW w:w="13746" w:type="dxa"/>
            <w:gridSpan w:val="3"/>
            <w:shd w:val="clear" w:color="auto" w:fill="C6D9F1" w:themeFill="text2" w:themeFillTint="33"/>
          </w:tcPr>
          <w:p w:rsidR="00A02265" w:rsidRPr="005A37E7" w:rsidRDefault="00A02265" w:rsidP="009E5268">
            <w:pPr>
              <w:rPr>
                <w:b/>
              </w:rPr>
            </w:pPr>
          </w:p>
          <w:p w:rsidR="00A02265" w:rsidRPr="005A37E7" w:rsidRDefault="00A02265" w:rsidP="009E5268">
            <w:pPr>
              <w:rPr>
                <w:b/>
              </w:rPr>
            </w:pPr>
            <w:r w:rsidRPr="005A37E7">
              <w:rPr>
                <w:b/>
              </w:rPr>
              <w:t>Cessions entre actionnaires</w:t>
            </w:r>
          </w:p>
        </w:tc>
      </w:tr>
      <w:tr w:rsidR="00A02265" w:rsidRPr="005A37E7" w:rsidTr="007B57C0">
        <w:trPr>
          <w:trHeight w:val="70"/>
        </w:trPr>
        <w:tc>
          <w:tcPr>
            <w:tcW w:w="4582" w:type="dxa"/>
          </w:tcPr>
          <w:p w:rsidR="00A02265" w:rsidRPr="005A37E7" w:rsidRDefault="00A02265" w:rsidP="002B4E94">
            <w:pPr>
              <w:rPr>
                <w:b/>
              </w:rPr>
            </w:pPr>
            <w:r w:rsidRPr="005A37E7">
              <w:rPr>
                <w:b/>
              </w:rPr>
              <w:t>Promesse d’achat d’UKAD</w:t>
            </w:r>
            <w:r>
              <w:rPr>
                <w:b/>
              </w:rPr>
              <w:t xml:space="preserve"> </w:t>
            </w:r>
            <w:r w:rsidRPr="005A37E7">
              <w:rPr>
                <w:b/>
              </w:rPr>
              <w:t>/</w:t>
            </w:r>
            <w:r>
              <w:rPr>
                <w:b/>
              </w:rPr>
              <w:t xml:space="preserve"> </w:t>
            </w:r>
            <w:r w:rsidRPr="005A37E7">
              <w:rPr>
                <w:b/>
              </w:rPr>
              <w:t>Option de vente de</w:t>
            </w:r>
            <w:r>
              <w:rPr>
                <w:b/>
              </w:rPr>
              <w:t>s investisseurs financiers</w:t>
            </w:r>
          </w:p>
        </w:tc>
        <w:tc>
          <w:tcPr>
            <w:tcW w:w="4582" w:type="dxa"/>
          </w:tcPr>
          <w:p w:rsidR="00A02265" w:rsidRPr="005A37E7" w:rsidRDefault="00A02265" w:rsidP="00B223D9"/>
        </w:tc>
        <w:tc>
          <w:tcPr>
            <w:tcW w:w="4582" w:type="dxa"/>
          </w:tcPr>
          <w:p w:rsidR="00A02265" w:rsidRPr="00563ED0" w:rsidRDefault="00A02265" w:rsidP="00245EBA">
            <w:r w:rsidRPr="005A37E7">
              <w:t xml:space="preserve">A tout moment à compter de l’expiration de la </w:t>
            </w:r>
            <w:r w:rsidRPr="00563ED0">
              <w:t xml:space="preserve">période d’inaliénabilité, </w:t>
            </w:r>
            <w:r>
              <w:t>un Investisseur Financier</w:t>
            </w:r>
            <w:r w:rsidRPr="00563ED0">
              <w:t xml:space="preserve"> pourra proposer à UKAD de lui céder ses titres.</w:t>
            </w:r>
          </w:p>
          <w:p w:rsidR="00A02265" w:rsidRPr="00563ED0" w:rsidRDefault="00A02265" w:rsidP="00245EBA">
            <w:commentRangeStart w:id="26"/>
            <w:r w:rsidRPr="00563ED0">
              <w:t>UKAD pourra les acquérir à tout moment pendant un délai de 2 ans.</w:t>
            </w:r>
            <w:commentRangeEnd w:id="26"/>
            <w:r w:rsidR="00BF59D1">
              <w:rPr>
                <w:rStyle w:val="Marquedecommentaire"/>
              </w:rPr>
              <w:commentReference w:id="26"/>
            </w:r>
          </w:p>
          <w:p w:rsidR="00A02265" w:rsidRPr="00563ED0" w:rsidRDefault="00A02265" w:rsidP="00245EBA">
            <w:r w:rsidRPr="00563ED0">
              <w:t>Passé le délai de 2 ans précité, si l’</w:t>
            </w:r>
            <w:r>
              <w:t>Investisseur Financier</w:t>
            </w:r>
            <w:r w:rsidRPr="00563ED0">
              <w:t xml:space="preserve"> est toujours </w:t>
            </w:r>
            <w:r>
              <w:t>propriétaire des actions qu’il</w:t>
            </w:r>
            <w:r w:rsidRPr="00563ED0">
              <w:t xml:space="preserve"> souhaitait céder : Put option sur UKAD</w:t>
            </w:r>
          </w:p>
          <w:p w:rsidR="00A02265" w:rsidRPr="00563ED0" w:rsidRDefault="00A02265" w:rsidP="00245EBA">
            <w:r>
              <w:t xml:space="preserve">- </w:t>
            </w:r>
            <w:r w:rsidRPr="00563ED0">
              <w:t>Prix : Conventionnel</w:t>
            </w:r>
          </w:p>
          <w:p w:rsidR="00A02265" w:rsidRPr="005A37E7" w:rsidRDefault="00A02265" w:rsidP="00563ED0">
            <w:r w:rsidRPr="00563ED0">
              <w:t xml:space="preserve">- </w:t>
            </w:r>
            <w:commentRangeStart w:id="27"/>
            <w:r w:rsidRPr="00563ED0">
              <w:t xml:space="preserve">Condition préalable : proposition </w:t>
            </w:r>
            <w:r>
              <w:t>par l’Investisseur Financier</w:t>
            </w:r>
            <w:r w:rsidRPr="00563ED0">
              <w:t xml:space="preserve"> à UKAD d’acquérir ses titres au moins 2 ans avant l’exercice du Put</w:t>
            </w:r>
            <w:commentRangeEnd w:id="27"/>
            <w:r w:rsidR="00BF59D1">
              <w:rPr>
                <w:rStyle w:val="Marquedecommentaire"/>
              </w:rPr>
              <w:commentReference w:id="27"/>
            </w:r>
          </w:p>
        </w:tc>
      </w:tr>
      <w:tr w:rsidR="00A02265" w:rsidRPr="005A37E7" w:rsidTr="007B57C0">
        <w:trPr>
          <w:trHeight w:val="70"/>
        </w:trPr>
        <w:tc>
          <w:tcPr>
            <w:tcW w:w="4582" w:type="dxa"/>
          </w:tcPr>
          <w:p w:rsidR="00A02265" w:rsidRPr="005A37E7" w:rsidRDefault="00A02265" w:rsidP="002B4E94">
            <w:pPr>
              <w:rPr>
                <w:b/>
              </w:rPr>
            </w:pPr>
            <w:r w:rsidRPr="005A37E7">
              <w:rPr>
                <w:b/>
              </w:rPr>
              <w:t>Promesse d’achat d’UKAD/Option de vente de</w:t>
            </w:r>
            <w:r>
              <w:rPr>
                <w:b/>
              </w:rPr>
              <w:t xml:space="preserve"> l’ADEME</w:t>
            </w:r>
            <w:r w:rsidRPr="005A37E7">
              <w:rPr>
                <w:b/>
              </w:rPr>
              <w:t xml:space="preserve"> </w:t>
            </w:r>
            <w:r>
              <w:rPr>
                <w:b/>
              </w:rPr>
              <w:t>-</w:t>
            </w:r>
            <w:r w:rsidRPr="002B4E94">
              <w:rPr>
                <w:b/>
                <w:i/>
              </w:rPr>
              <w:t xml:space="preserve"> Protection des investisseurs financiers au sein de la filière Titane -</w:t>
            </w:r>
          </w:p>
        </w:tc>
        <w:tc>
          <w:tcPr>
            <w:tcW w:w="4582" w:type="dxa"/>
          </w:tcPr>
          <w:p w:rsidR="00A02265" w:rsidRPr="005A37E7" w:rsidRDefault="00A02265" w:rsidP="00B223D9"/>
        </w:tc>
        <w:tc>
          <w:tcPr>
            <w:tcW w:w="4582" w:type="dxa"/>
          </w:tcPr>
          <w:p w:rsidR="00A02265" w:rsidRPr="005A37E7" w:rsidRDefault="00A02265" w:rsidP="007D69F6">
            <w:r w:rsidRPr="005A37E7">
              <w:t xml:space="preserve">Plusieurs « Put Option » </w:t>
            </w:r>
            <w:r>
              <w:t xml:space="preserve">‘Sanctions’ </w:t>
            </w:r>
            <w:r w:rsidRPr="005A37E7">
              <w:t>aux conditions suivantes sont à envisager (à tout moment) :</w:t>
            </w:r>
          </w:p>
          <w:p w:rsidR="00A02265" w:rsidRPr="005A37E7" w:rsidRDefault="00A02265" w:rsidP="007D69F6">
            <w:pPr>
              <w:pStyle w:val="Paragraphedeliste"/>
              <w:numPr>
                <w:ilvl w:val="0"/>
                <w:numId w:val="29"/>
              </w:numPr>
            </w:pPr>
            <w:r w:rsidRPr="005A37E7">
              <w:t xml:space="preserve">En cas de </w:t>
            </w:r>
            <w:proofErr w:type="spellStart"/>
            <w:r w:rsidRPr="005A37E7">
              <w:t>non respect</w:t>
            </w:r>
            <w:proofErr w:type="spellEnd"/>
            <w:r w:rsidRPr="005A37E7">
              <w:t xml:space="preserve"> des obligations du Pacte par UKAD et échec de la procédure de conciliation</w:t>
            </w:r>
          </w:p>
          <w:p w:rsidR="00A02265" w:rsidRPr="005A37E7" w:rsidRDefault="00A02265" w:rsidP="007D69F6">
            <w:pPr>
              <w:pStyle w:val="Paragraphedeliste"/>
            </w:pPr>
          </w:p>
          <w:p w:rsidR="00A02265" w:rsidRDefault="00A02265" w:rsidP="007D69F6">
            <w:pPr>
              <w:pStyle w:val="Paragraphedeliste"/>
              <w:numPr>
                <w:ilvl w:val="0"/>
                <w:numId w:val="31"/>
              </w:numPr>
            </w:pPr>
            <w:commentRangeStart w:id="28"/>
            <w:r w:rsidRPr="005A37E7">
              <w:t xml:space="preserve">Prix : assurant à </w:t>
            </w:r>
            <w:r>
              <w:t>l’ADEME</w:t>
            </w:r>
            <w:r w:rsidRPr="005A37E7">
              <w:t xml:space="preserve"> un TRI de 11,3% augmenté de 200 points de base</w:t>
            </w:r>
            <w:commentRangeEnd w:id="28"/>
            <w:r w:rsidR="00A04EE0">
              <w:rPr>
                <w:rStyle w:val="Marquedecommentaire"/>
                <w:rFonts w:asciiTheme="minorHAnsi" w:eastAsiaTheme="minorHAnsi" w:hAnsiTheme="minorHAnsi" w:cstheme="minorBidi"/>
              </w:rPr>
              <w:commentReference w:id="28"/>
            </w:r>
          </w:p>
          <w:p w:rsidR="00A02265" w:rsidRPr="005A37E7" w:rsidRDefault="00A02265" w:rsidP="00A120DD">
            <w:pPr>
              <w:pStyle w:val="Paragraphedeliste"/>
              <w:ind w:left="1080"/>
            </w:pPr>
          </w:p>
          <w:p w:rsidR="00A02265" w:rsidRPr="005A37E7" w:rsidRDefault="00A02265" w:rsidP="007D69F6">
            <w:pPr>
              <w:pStyle w:val="Paragraphedeliste"/>
              <w:ind w:left="1080"/>
            </w:pPr>
            <w:commentRangeStart w:id="29"/>
          </w:p>
          <w:p w:rsidR="00A02265" w:rsidRDefault="00A02265" w:rsidP="007D69F6">
            <w:pPr>
              <w:pStyle w:val="Paragraphedeliste"/>
              <w:numPr>
                <w:ilvl w:val="0"/>
                <w:numId w:val="29"/>
              </w:numPr>
              <w:rPr>
                <w:rFonts w:asciiTheme="minorHAnsi" w:hAnsiTheme="minorHAnsi" w:cstheme="minorBidi"/>
              </w:rPr>
            </w:pPr>
            <w:r w:rsidRPr="005A37E7">
              <w:rPr>
                <w:rFonts w:asciiTheme="minorHAnsi" w:hAnsiTheme="minorHAnsi" w:cstheme="minorBidi"/>
              </w:rPr>
              <w:t xml:space="preserve">En cas de changement de stratégie d’UKAD/ Aubert &amp; Duval conduisant à l’abandon de la filière recyclage de titane non dictée par (i) un échec </w:t>
            </w:r>
            <w:r w:rsidRPr="005A37E7">
              <w:t>technologique</w:t>
            </w:r>
            <w:r w:rsidRPr="005A37E7">
              <w:rPr>
                <w:rFonts w:asciiTheme="minorHAnsi" w:hAnsiTheme="minorHAnsi" w:cstheme="minorBidi"/>
              </w:rPr>
              <w:t xml:space="preserve"> ou par (ii) une absence de marché, (iii) un cas de force majeure, (iv) du fait d’un tiers contractuellement lié à UKAD (EADS par exemple)</w:t>
            </w:r>
            <w:commentRangeEnd w:id="29"/>
            <w:r w:rsidR="00C41C82">
              <w:rPr>
                <w:rStyle w:val="Marquedecommentaire"/>
                <w:rFonts w:asciiTheme="minorHAnsi" w:eastAsiaTheme="minorHAnsi" w:hAnsiTheme="minorHAnsi" w:cstheme="minorBidi"/>
              </w:rPr>
              <w:commentReference w:id="29"/>
            </w:r>
          </w:p>
          <w:p w:rsidR="00A02265" w:rsidRPr="005A37E7" w:rsidRDefault="00A02265" w:rsidP="007D69F6">
            <w:pPr>
              <w:pStyle w:val="Paragraphedeliste"/>
              <w:rPr>
                <w:rFonts w:asciiTheme="minorHAnsi" w:hAnsiTheme="minorHAnsi" w:cstheme="minorBidi"/>
              </w:rPr>
            </w:pPr>
          </w:p>
          <w:p w:rsidR="00A02265" w:rsidRPr="005A37E7" w:rsidRDefault="00A02265" w:rsidP="007D69F6">
            <w:pPr>
              <w:pStyle w:val="Paragraphedeliste"/>
              <w:numPr>
                <w:ilvl w:val="0"/>
                <w:numId w:val="31"/>
              </w:numPr>
              <w:rPr>
                <w:rFonts w:asciiTheme="minorHAnsi" w:hAnsiTheme="minorHAnsi" w:cstheme="minorBidi"/>
              </w:rPr>
            </w:pPr>
            <w:commentRangeStart w:id="30"/>
            <w:r w:rsidRPr="005A37E7">
              <w:rPr>
                <w:rFonts w:asciiTheme="minorHAnsi" w:hAnsiTheme="minorHAnsi" w:cstheme="minorBidi"/>
              </w:rPr>
              <w:t xml:space="preserve"> Prix : assurant à </w:t>
            </w:r>
            <w:r>
              <w:rPr>
                <w:rFonts w:asciiTheme="minorHAnsi" w:hAnsiTheme="minorHAnsi" w:cstheme="minorBidi"/>
              </w:rPr>
              <w:t>l’ADEME</w:t>
            </w:r>
            <w:r w:rsidRPr="005A37E7">
              <w:rPr>
                <w:rFonts w:asciiTheme="minorHAnsi" w:hAnsiTheme="minorHAnsi" w:cstheme="minorBidi"/>
              </w:rPr>
              <w:t xml:space="preserve"> un TRI de 11,3% </w:t>
            </w:r>
            <w:commentRangeEnd w:id="30"/>
            <w:r w:rsidR="00A04EE0">
              <w:rPr>
                <w:rStyle w:val="Marquedecommentaire"/>
                <w:rFonts w:asciiTheme="minorHAnsi" w:eastAsiaTheme="minorHAnsi" w:hAnsiTheme="minorHAnsi" w:cstheme="minorBidi"/>
              </w:rPr>
              <w:commentReference w:id="30"/>
            </w:r>
          </w:p>
          <w:p w:rsidR="00A02265" w:rsidRPr="005A37E7" w:rsidRDefault="00A02265" w:rsidP="007D69F6">
            <w:pPr>
              <w:pStyle w:val="Paragraphedeliste"/>
              <w:ind w:left="1080"/>
              <w:rPr>
                <w:rFonts w:asciiTheme="minorHAnsi" w:hAnsiTheme="minorHAnsi" w:cstheme="minorBidi"/>
              </w:rPr>
            </w:pPr>
          </w:p>
          <w:p w:rsidR="00A02265" w:rsidRPr="005A37E7" w:rsidRDefault="00A02265" w:rsidP="007D69F6">
            <w:pPr>
              <w:pStyle w:val="Paragraphedeliste"/>
              <w:numPr>
                <w:ilvl w:val="0"/>
                <w:numId w:val="29"/>
              </w:numPr>
              <w:rPr>
                <w:rFonts w:asciiTheme="minorHAnsi" w:hAnsiTheme="minorHAnsi" w:cstheme="minorBidi"/>
              </w:rPr>
            </w:pPr>
            <w:r w:rsidRPr="005A37E7">
              <w:rPr>
                <w:rFonts w:asciiTheme="minorHAnsi" w:hAnsiTheme="minorHAnsi" w:cstheme="minorBidi"/>
              </w:rPr>
              <w:t>En cas de non-renouvellement à des conditions similaires / résiliation du Contrat UKAD / Ecotitanium qui ne serait pas dicté par i) un échec technologique ou par (ii) une absence de marché, (iii) un cas de force majeure, (iv) du fait d’un tiers contractuellement lié à UKAD (EADS par exemple)</w:t>
            </w:r>
          </w:p>
          <w:p w:rsidR="00A02265" w:rsidRPr="005A37E7" w:rsidRDefault="00A02265" w:rsidP="007D69F6">
            <w:pPr>
              <w:pStyle w:val="Paragraphedeliste"/>
              <w:rPr>
                <w:rFonts w:asciiTheme="minorHAnsi" w:hAnsiTheme="minorHAnsi" w:cstheme="minorBidi"/>
              </w:rPr>
            </w:pPr>
          </w:p>
          <w:p w:rsidR="00A02265" w:rsidRDefault="00A02265" w:rsidP="007D69F6">
            <w:pPr>
              <w:pStyle w:val="Paragraphedeliste"/>
              <w:numPr>
                <w:ilvl w:val="0"/>
                <w:numId w:val="31"/>
              </w:numPr>
              <w:rPr>
                <w:rFonts w:asciiTheme="minorHAnsi" w:hAnsiTheme="minorHAnsi" w:cstheme="minorBidi"/>
              </w:rPr>
            </w:pPr>
            <w:commentRangeStart w:id="31"/>
            <w:r w:rsidRPr="005A37E7">
              <w:rPr>
                <w:rFonts w:asciiTheme="minorHAnsi" w:hAnsiTheme="minorHAnsi" w:cstheme="minorBidi"/>
              </w:rPr>
              <w:t xml:space="preserve">Prix : assurant à </w:t>
            </w:r>
            <w:r>
              <w:rPr>
                <w:rFonts w:asciiTheme="minorHAnsi" w:hAnsiTheme="minorHAnsi" w:cstheme="minorBidi"/>
              </w:rPr>
              <w:t>l’ADEME</w:t>
            </w:r>
            <w:r w:rsidRPr="005A37E7">
              <w:rPr>
                <w:rFonts w:asciiTheme="minorHAnsi" w:hAnsiTheme="minorHAnsi" w:cstheme="minorBidi"/>
              </w:rPr>
              <w:t xml:space="preserve"> un TRI de 11,3% </w:t>
            </w:r>
            <w:commentRangeEnd w:id="31"/>
            <w:r w:rsidR="00A04EE0">
              <w:rPr>
                <w:rStyle w:val="Marquedecommentaire"/>
                <w:rFonts w:asciiTheme="minorHAnsi" w:eastAsiaTheme="minorHAnsi" w:hAnsiTheme="minorHAnsi" w:cstheme="minorBidi"/>
              </w:rPr>
              <w:commentReference w:id="31"/>
            </w:r>
          </w:p>
          <w:p w:rsidR="00A02265" w:rsidRPr="005A37E7" w:rsidRDefault="00A02265" w:rsidP="00A120DD">
            <w:pPr>
              <w:pStyle w:val="Paragraphedeliste"/>
              <w:ind w:left="1080"/>
              <w:rPr>
                <w:rFonts w:asciiTheme="minorHAnsi" w:hAnsiTheme="minorHAnsi" w:cstheme="minorBidi"/>
              </w:rPr>
            </w:pPr>
          </w:p>
          <w:p w:rsidR="00A02265" w:rsidRPr="005A37E7" w:rsidRDefault="00A02265" w:rsidP="007D69F6">
            <w:pPr>
              <w:pStyle w:val="Paragraphedeliste"/>
              <w:numPr>
                <w:ilvl w:val="0"/>
                <w:numId w:val="29"/>
              </w:numPr>
              <w:rPr>
                <w:rFonts w:asciiTheme="minorHAnsi" w:hAnsiTheme="minorHAnsi" w:cstheme="minorBidi"/>
              </w:rPr>
            </w:pPr>
            <w:commentRangeStart w:id="32"/>
            <w:r w:rsidRPr="005A37E7">
              <w:rPr>
                <w:rFonts w:asciiTheme="minorHAnsi" w:hAnsiTheme="minorHAnsi" w:cstheme="minorBidi"/>
              </w:rPr>
              <w:t>En cas de non-renouvellement à des conditions similaires / résiliation du Contrat UKAD / UKTMP qui ne serait pas dicté par i) un échec technologique ou par (ii) une absence de marché, (iii) un cas de force majeure, (iv) du seul fait d’un tiers contractuellement lié à UKAD (EADS par exemple)</w:t>
            </w:r>
          </w:p>
          <w:p w:rsidR="00A02265" w:rsidRPr="005A37E7" w:rsidRDefault="00A02265" w:rsidP="007D69F6">
            <w:pPr>
              <w:pStyle w:val="Paragraphedeliste"/>
              <w:rPr>
                <w:rFonts w:asciiTheme="minorHAnsi" w:hAnsiTheme="minorHAnsi" w:cstheme="minorBidi"/>
              </w:rPr>
            </w:pPr>
          </w:p>
          <w:p w:rsidR="00A02265" w:rsidRPr="005A37E7" w:rsidRDefault="00A02265" w:rsidP="007D69F6">
            <w:pPr>
              <w:pStyle w:val="Paragraphedeliste"/>
              <w:numPr>
                <w:ilvl w:val="0"/>
                <w:numId w:val="31"/>
              </w:numPr>
              <w:rPr>
                <w:rFonts w:asciiTheme="minorHAnsi" w:hAnsiTheme="minorHAnsi" w:cstheme="minorBidi"/>
              </w:rPr>
            </w:pPr>
            <w:r w:rsidRPr="005A37E7">
              <w:rPr>
                <w:rFonts w:asciiTheme="minorHAnsi" w:hAnsiTheme="minorHAnsi" w:cstheme="minorBidi"/>
              </w:rPr>
              <w:t xml:space="preserve">Prix : assurant à </w:t>
            </w:r>
            <w:r>
              <w:rPr>
                <w:rFonts w:asciiTheme="minorHAnsi" w:hAnsiTheme="minorHAnsi" w:cstheme="minorBidi"/>
              </w:rPr>
              <w:t>l’ADEME</w:t>
            </w:r>
            <w:r w:rsidRPr="005A37E7">
              <w:rPr>
                <w:rFonts w:asciiTheme="minorHAnsi" w:hAnsiTheme="minorHAnsi" w:cstheme="minorBidi"/>
              </w:rPr>
              <w:t xml:space="preserve"> un TRI de 11,3%</w:t>
            </w:r>
            <w:commentRangeEnd w:id="32"/>
            <w:r w:rsidR="00C716E4">
              <w:rPr>
                <w:rStyle w:val="Marquedecommentaire"/>
                <w:rFonts w:asciiTheme="minorHAnsi" w:eastAsiaTheme="minorHAnsi" w:hAnsiTheme="minorHAnsi" w:cstheme="minorBidi"/>
              </w:rPr>
              <w:commentReference w:id="32"/>
            </w:r>
          </w:p>
          <w:p w:rsidR="00A02265" w:rsidRPr="005A37E7" w:rsidRDefault="00A02265" w:rsidP="007D69F6">
            <w:pPr>
              <w:pStyle w:val="Paragraphedeliste"/>
              <w:ind w:left="1080"/>
              <w:rPr>
                <w:rFonts w:asciiTheme="minorHAnsi" w:hAnsiTheme="minorHAnsi" w:cstheme="minorBidi"/>
              </w:rPr>
            </w:pPr>
          </w:p>
          <w:p w:rsidR="00A02265" w:rsidRPr="005A37E7" w:rsidRDefault="00A02265" w:rsidP="007D69F6">
            <w:pPr>
              <w:pStyle w:val="Paragraphedeliste"/>
              <w:numPr>
                <w:ilvl w:val="0"/>
                <w:numId w:val="29"/>
              </w:numPr>
              <w:rPr>
                <w:rFonts w:asciiTheme="minorHAnsi" w:hAnsiTheme="minorHAnsi" w:cstheme="minorBidi"/>
              </w:rPr>
            </w:pPr>
            <w:commentRangeStart w:id="33"/>
            <w:r w:rsidRPr="005A37E7">
              <w:rPr>
                <w:rFonts w:asciiTheme="minorHAnsi" w:hAnsiTheme="minorHAnsi" w:cstheme="minorBidi"/>
              </w:rPr>
              <w:t>En cas de liquidation, dépôt de bilan, dissolution d’UKAD qui ne serait pas liée à i) un échec technologique ou par (ii) une absence de marché, (iii) un cas de force majeure, (iv) du seul fait d’un tiers contractuellement lié à UKAD (EADS par exemple)</w:t>
            </w:r>
            <w:commentRangeEnd w:id="33"/>
            <w:r w:rsidR="00C716E4">
              <w:rPr>
                <w:rStyle w:val="Marquedecommentaire"/>
                <w:rFonts w:asciiTheme="minorHAnsi" w:eastAsiaTheme="minorHAnsi" w:hAnsiTheme="minorHAnsi" w:cstheme="minorBidi"/>
              </w:rPr>
              <w:commentReference w:id="33"/>
            </w:r>
          </w:p>
          <w:p w:rsidR="00A02265" w:rsidRPr="005A37E7" w:rsidRDefault="00A02265" w:rsidP="007D69F6">
            <w:pPr>
              <w:pStyle w:val="Paragraphedeliste"/>
              <w:rPr>
                <w:rFonts w:asciiTheme="minorHAnsi" w:hAnsiTheme="minorHAnsi" w:cstheme="minorBidi"/>
              </w:rPr>
            </w:pPr>
          </w:p>
          <w:p w:rsidR="00A02265" w:rsidRPr="005A37E7" w:rsidRDefault="00A02265" w:rsidP="007D69F6">
            <w:pPr>
              <w:pStyle w:val="Paragraphedeliste"/>
              <w:numPr>
                <w:ilvl w:val="0"/>
                <w:numId w:val="31"/>
              </w:numPr>
              <w:rPr>
                <w:rFonts w:asciiTheme="minorHAnsi" w:hAnsiTheme="minorHAnsi" w:cstheme="minorBidi"/>
              </w:rPr>
            </w:pPr>
            <w:r w:rsidRPr="005A37E7">
              <w:rPr>
                <w:rFonts w:asciiTheme="minorHAnsi" w:hAnsiTheme="minorHAnsi" w:cstheme="minorBidi"/>
              </w:rPr>
              <w:t xml:space="preserve">Prix : assurant à </w:t>
            </w:r>
            <w:r>
              <w:rPr>
                <w:rFonts w:asciiTheme="minorHAnsi" w:hAnsiTheme="minorHAnsi" w:cstheme="minorBidi"/>
              </w:rPr>
              <w:t>l’ADEME</w:t>
            </w:r>
            <w:r w:rsidRPr="005A37E7">
              <w:rPr>
                <w:rFonts w:asciiTheme="minorHAnsi" w:hAnsiTheme="minorHAnsi" w:cstheme="minorBidi"/>
              </w:rPr>
              <w:t xml:space="preserve"> un TRI de 11,3%</w:t>
            </w:r>
          </w:p>
          <w:p w:rsidR="00A02265" w:rsidRPr="005A37E7" w:rsidRDefault="00A02265" w:rsidP="007D69F6">
            <w:pPr>
              <w:pStyle w:val="Paragraphedeliste"/>
              <w:numPr>
                <w:ilvl w:val="0"/>
                <w:numId w:val="31"/>
              </w:numPr>
              <w:rPr>
                <w:rFonts w:asciiTheme="minorHAnsi" w:hAnsiTheme="minorHAnsi" w:cstheme="minorBidi"/>
              </w:rPr>
            </w:pPr>
            <w:r w:rsidRPr="005A37E7">
              <w:rPr>
                <w:rFonts w:asciiTheme="minorHAnsi" w:hAnsiTheme="minorHAnsi" w:cstheme="minorBidi"/>
              </w:rPr>
              <w:t>Le rachat devra se faire par les actionnaires d’UKAD (cf. garantie supra)</w:t>
            </w:r>
          </w:p>
          <w:p w:rsidR="00A02265" w:rsidRPr="005A37E7" w:rsidRDefault="00A02265" w:rsidP="007D69F6">
            <w:pPr>
              <w:pStyle w:val="Paragraphedeliste"/>
              <w:ind w:left="1080"/>
              <w:rPr>
                <w:rFonts w:asciiTheme="minorHAnsi" w:hAnsiTheme="minorHAnsi" w:cstheme="minorBidi"/>
              </w:rPr>
            </w:pPr>
          </w:p>
          <w:p w:rsidR="00A02265" w:rsidRPr="005A37E7" w:rsidRDefault="00A02265" w:rsidP="007D69F6">
            <w:pPr>
              <w:pStyle w:val="Paragraphedeliste"/>
              <w:numPr>
                <w:ilvl w:val="0"/>
                <w:numId w:val="29"/>
              </w:numPr>
              <w:rPr>
                <w:rFonts w:asciiTheme="minorHAnsi" w:hAnsiTheme="minorHAnsi" w:cstheme="minorBidi"/>
              </w:rPr>
            </w:pPr>
            <w:commentRangeStart w:id="34"/>
            <w:r w:rsidRPr="005A37E7">
              <w:rPr>
                <w:rFonts w:asciiTheme="minorHAnsi" w:hAnsiTheme="minorHAnsi" w:cstheme="minorBidi"/>
              </w:rPr>
              <w:t>En cas de changement de contrôle d’UKAD et/ou d’UKTMP</w:t>
            </w:r>
          </w:p>
          <w:p w:rsidR="00A02265" w:rsidRPr="005A37E7" w:rsidRDefault="00A02265" w:rsidP="007D69F6">
            <w:pPr>
              <w:pStyle w:val="Paragraphedeliste"/>
              <w:rPr>
                <w:rFonts w:asciiTheme="minorHAnsi" w:hAnsiTheme="minorHAnsi" w:cstheme="minorBidi"/>
              </w:rPr>
            </w:pPr>
          </w:p>
          <w:p w:rsidR="00A02265" w:rsidRPr="005A37E7" w:rsidRDefault="00A02265" w:rsidP="007D69F6">
            <w:pPr>
              <w:pStyle w:val="Paragraphedeliste"/>
              <w:numPr>
                <w:ilvl w:val="0"/>
                <w:numId w:val="31"/>
              </w:numPr>
            </w:pPr>
            <w:r w:rsidRPr="005A37E7">
              <w:rPr>
                <w:rFonts w:asciiTheme="minorHAnsi" w:hAnsiTheme="minorHAnsi" w:cstheme="minorBidi"/>
              </w:rPr>
              <w:t>Prix : Prix conventionnel</w:t>
            </w:r>
            <w:commentRangeEnd w:id="34"/>
            <w:r w:rsidR="004C6FC7">
              <w:rPr>
                <w:rStyle w:val="Marquedecommentaire"/>
                <w:rFonts w:asciiTheme="minorHAnsi" w:eastAsiaTheme="minorHAnsi" w:hAnsiTheme="minorHAnsi" w:cstheme="minorBidi"/>
              </w:rPr>
              <w:commentReference w:id="34"/>
            </w:r>
          </w:p>
        </w:tc>
      </w:tr>
      <w:tr w:rsidR="00A02265" w:rsidRPr="005A37E7" w:rsidTr="009E5268">
        <w:tc>
          <w:tcPr>
            <w:tcW w:w="13746" w:type="dxa"/>
            <w:gridSpan w:val="3"/>
            <w:shd w:val="clear" w:color="auto" w:fill="C6D9F1" w:themeFill="text2" w:themeFillTint="33"/>
          </w:tcPr>
          <w:p w:rsidR="00A02265" w:rsidRPr="005A37E7" w:rsidRDefault="00A02265" w:rsidP="00A120DD">
            <w:pPr>
              <w:keepNext/>
              <w:rPr>
                <w:b/>
              </w:rPr>
            </w:pPr>
          </w:p>
          <w:p w:rsidR="00A02265" w:rsidRPr="005A37E7" w:rsidRDefault="00A02265" w:rsidP="00A120DD">
            <w:pPr>
              <w:keepNext/>
              <w:rPr>
                <w:b/>
              </w:rPr>
            </w:pPr>
            <w:r w:rsidRPr="005A37E7">
              <w:rPr>
                <w:b/>
              </w:rPr>
              <w:t>Cessions à un Tiers – cas général</w:t>
            </w:r>
          </w:p>
        </w:tc>
      </w:tr>
      <w:tr w:rsidR="00A02265" w:rsidRPr="005A37E7" w:rsidTr="00563ED0">
        <w:tc>
          <w:tcPr>
            <w:tcW w:w="4582" w:type="dxa"/>
          </w:tcPr>
          <w:p w:rsidR="00A02265" w:rsidRDefault="00A02265" w:rsidP="00A120DD">
            <w:pPr>
              <w:keepNext/>
              <w:rPr>
                <w:b/>
              </w:rPr>
            </w:pPr>
            <w:r w:rsidRPr="005A37E7">
              <w:rPr>
                <w:b/>
              </w:rPr>
              <w:t xml:space="preserve">Droit de préemption </w:t>
            </w:r>
            <w:r>
              <w:rPr>
                <w:b/>
              </w:rPr>
              <w:t xml:space="preserve">d’une Partie </w:t>
            </w:r>
            <w:r w:rsidRPr="005A37E7">
              <w:rPr>
                <w:b/>
              </w:rPr>
              <w:t>en</w:t>
            </w:r>
            <w:r>
              <w:rPr>
                <w:b/>
              </w:rPr>
              <w:t xml:space="preserve"> cas de projet de cession par une autre Partie : principe</w:t>
            </w:r>
          </w:p>
          <w:p w:rsidR="00A02265" w:rsidRPr="005A37E7" w:rsidRDefault="00A02265" w:rsidP="00A120DD">
            <w:pPr>
              <w:keepNext/>
              <w:rPr>
                <w:b/>
              </w:rPr>
            </w:pPr>
            <w:r>
              <w:rPr>
                <w:b/>
              </w:rPr>
              <w:t>[</w:t>
            </w:r>
            <w:r w:rsidRPr="00563ED0">
              <w:rPr>
                <w:b/>
                <w:i/>
                <w:highlight w:val="yellow"/>
              </w:rPr>
              <w:t>A discuter : prévoir un rang de préemption entre les Investisseurs Financiers </w:t>
            </w:r>
            <w:r>
              <w:rPr>
                <w:b/>
                <w:i/>
                <w:highlight w:val="yellow"/>
              </w:rPr>
              <w:t xml:space="preserve">en cas de projet de cession d’UKAD </w:t>
            </w:r>
            <w:proofErr w:type="gramStart"/>
            <w:r w:rsidRPr="00563ED0">
              <w:rPr>
                <w:b/>
                <w:i/>
                <w:highlight w:val="yellow"/>
              </w:rPr>
              <w:t>?</w:t>
            </w:r>
            <w:r>
              <w:rPr>
                <w:b/>
              </w:rPr>
              <w:t xml:space="preserve"> ]</w:t>
            </w:r>
            <w:proofErr w:type="gramEnd"/>
          </w:p>
        </w:tc>
        <w:tc>
          <w:tcPr>
            <w:tcW w:w="4582" w:type="dxa"/>
          </w:tcPr>
          <w:p w:rsidR="00A02265" w:rsidRPr="005A37E7" w:rsidRDefault="00A02265" w:rsidP="00A120DD">
            <w:pPr>
              <w:keepNext/>
            </w:pPr>
          </w:p>
        </w:tc>
        <w:tc>
          <w:tcPr>
            <w:tcW w:w="4582" w:type="dxa"/>
          </w:tcPr>
          <w:p w:rsidR="00A02265" w:rsidRPr="005A37E7" w:rsidRDefault="00A02265" w:rsidP="00A120DD">
            <w:pPr>
              <w:keepNext/>
            </w:pPr>
            <w:commentRangeStart w:id="35"/>
            <w:r w:rsidRPr="005A37E7">
              <w:t xml:space="preserve">En cas de projet de cession de ses Titres par </w:t>
            </w:r>
            <w:r>
              <w:t>une Partie</w:t>
            </w:r>
            <w:r w:rsidRPr="005A37E7">
              <w:t xml:space="preserve"> après l’expiration de la période d’inaliénabilité, </w:t>
            </w:r>
            <w:r>
              <w:t>les autres Parties bénéficieront</w:t>
            </w:r>
            <w:r w:rsidRPr="005A37E7">
              <w:t xml:space="preserve"> d’un droit de préemption.</w:t>
            </w:r>
          </w:p>
          <w:p w:rsidR="00A02265" w:rsidRPr="005A37E7" w:rsidRDefault="00A02265" w:rsidP="00A120DD">
            <w:pPr>
              <w:keepNext/>
            </w:pPr>
            <w:r w:rsidRPr="005A37E7">
              <w:t>En cas d’absence de préemption,</w:t>
            </w:r>
            <w:r>
              <w:t xml:space="preserve"> le cédant </w:t>
            </w:r>
            <w:r w:rsidRPr="005A37E7">
              <w:t>p</w:t>
            </w:r>
            <w:r>
              <w:t>ourra</w:t>
            </w:r>
            <w:r w:rsidRPr="005A37E7">
              <w:t xml:space="preserve"> céder tout ou partie de ses titres à un Tiers sous réserve de faire agréer le cessionnaire par la Société (voir</w:t>
            </w:r>
            <w:r>
              <w:t xml:space="preserve"> agrément ci-après</w:t>
            </w:r>
            <w:r w:rsidRPr="005A37E7">
              <w:t>.</w:t>
            </w:r>
            <w:commentRangeEnd w:id="35"/>
            <w:r w:rsidR="004E5AEE">
              <w:rPr>
                <w:rStyle w:val="Marquedecommentaire"/>
              </w:rPr>
              <w:commentReference w:id="35"/>
            </w:r>
          </w:p>
        </w:tc>
      </w:tr>
      <w:tr w:rsidR="00A02265" w:rsidRPr="005A37E7" w:rsidTr="007B57C0">
        <w:trPr>
          <w:trHeight w:val="70"/>
        </w:trPr>
        <w:tc>
          <w:tcPr>
            <w:tcW w:w="4582" w:type="dxa"/>
            <w:vMerge w:val="restart"/>
          </w:tcPr>
          <w:p w:rsidR="00A02265" w:rsidRPr="005A37E7" w:rsidRDefault="00A02265" w:rsidP="00B223D9">
            <w:pPr>
              <w:rPr>
                <w:b/>
              </w:rPr>
            </w:pPr>
            <w:r w:rsidRPr="005A37E7">
              <w:rPr>
                <w:b/>
              </w:rPr>
              <w:t>Cession des actions</w:t>
            </w:r>
          </w:p>
        </w:tc>
        <w:tc>
          <w:tcPr>
            <w:tcW w:w="4582" w:type="dxa"/>
          </w:tcPr>
          <w:p w:rsidR="00A02265" w:rsidRPr="005A37E7" w:rsidRDefault="00A02265" w:rsidP="00096687">
            <w:r w:rsidRPr="005A37E7">
              <w:t>b) Hors le cas de cession libre telle que défini ci-dessus, les actions de la Société peuvent être cédées à un tiers sous réserve des droits d’agrément et de préemption énoncés par ailleurs. Sont assimilées à la cession le transfert des actions par voie de fusion, scission, d’apport partiel d’actif, de constitution d’usufruit, d’échange et de donation.</w:t>
            </w:r>
          </w:p>
        </w:tc>
        <w:tc>
          <w:tcPr>
            <w:tcW w:w="4582" w:type="dxa"/>
          </w:tcPr>
          <w:p w:rsidR="00A02265" w:rsidRPr="005A37E7" w:rsidRDefault="00A02265" w:rsidP="00563ED0">
            <w:r>
              <w:t>-</w:t>
            </w:r>
          </w:p>
        </w:tc>
      </w:tr>
      <w:tr w:rsidR="00A02265" w:rsidRPr="005A37E7" w:rsidTr="007B57C0">
        <w:trPr>
          <w:trHeight w:val="70"/>
        </w:trPr>
        <w:tc>
          <w:tcPr>
            <w:tcW w:w="4582" w:type="dxa"/>
            <w:vMerge/>
          </w:tcPr>
          <w:p w:rsidR="00A02265" w:rsidRPr="005A37E7" w:rsidRDefault="00A02265" w:rsidP="00B223D9">
            <w:pPr>
              <w:rPr>
                <w:b/>
              </w:rPr>
            </w:pPr>
          </w:p>
        </w:tc>
        <w:tc>
          <w:tcPr>
            <w:tcW w:w="4582" w:type="dxa"/>
          </w:tcPr>
          <w:p w:rsidR="00A02265" w:rsidRPr="005A37E7" w:rsidRDefault="00A02265" w:rsidP="00096687">
            <w:r w:rsidRPr="005A37E7">
              <w:t xml:space="preserve">Les dispositions ci-dessus s’appliquent également aux titres, instruments financiers, actions et valeurs mobilières futures et aux droits provenant d’un démembrement de ceux-ci, de même qu’elles peuvent aussi s'appliquer à </w:t>
            </w:r>
            <w:r w:rsidRPr="005A37E7">
              <w:lastRenderedPageBreak/>
              <w:t>la cession des droits d'attribution en cas d'augmentation de capital par incorporation de réserves, primes d'émission ou bénéfices, ainsi qu'en cas de cession de droits de souscription à une augmentation de capital par voie d'apports en numéraire ou de renonciation individuelle au droit de souscription en faveur de personnes dénommées.</w:t>
            </w:r>
          </w:p>
        </w:tc>
        <w:tc>
          <w:tcPr>
            <w:tcW w:w="4582" w:type="dxa"/>
          </w:tcPr>
          <w:p w:rsidR="00A02265" w:rsidRPr="005A37E7" w:rsidRDefault="00A02265" w:rsidP="00B223D9">
            <w:r w:rsidRPr="005A37E7">
              <w:lastRenderedPageBreak/>
              <w:t>-</w:t>
            </w:r>
          </w:p>
        </w:tc>
      </w:tr>
      <w:tr w:rsidR="00A02265" w:rsidRPr="005A37E7" w:rsidTr="007B57C0">
        <w:trPr>
          <w:trHeight w:val="70"/>
        </w:trPr>
        <w:tc>
          <w:tcPr>
            <w:tcW w:w="4582" w:type="dxa"/>
          </w:tcPr>
          <w:p w:rsidR="00A02265" w:rsidRPr="005A37E7" w:rsidRDefault="00A02265" w:rsidP="00B223D9">
            <w:pPr>
              <w:rPr>
                <w:b/>
              </w:rPr>
            </w:pPr>
            <w:r w:rsidRPr="005A37E7">
              <w:rPr>
                <w:b/>
              </w:rPr>
              <w:lastRenderedPageBreak/>
              <w:t xml:space="preserve">Préemption (restriction d’application) </w:t>
            </w:r>
          </w:p>
        </w:tc>
        <w:tc>
          <w:tcPr>
            <w:tcW w:w="4582" w:type="dxa"/>
          </w:tcPr>
          <w:p w:rsidR="00A02265" w:rsidRPr="005A37E7" w:rsidRDefault="00A02265" w:rsidP="00B223D9">
            <w:r w:rsidRPr="005A37E7">
              <w:t>Les transmissions ou nantissements réalisés par une Partie au profit d'une société qu'elle contrôle ou qui la contrôle, et ce à hauteur de 50% au moins des droits de vote, ainsi qu'au profit d'une filiale de la société mère d’une Partie, étant précisé qu'une société est considérée comme filiale d’une autre lorsque plus de 50% des droits de vote attachés aux actions ou aux parts composant son capital, appartiennent directement ou indirectement à ladite société mère, sont exclus de la procédure de préemption, sous réserve que la société cédante reste garante des droits et obligations au titre des présents statuts.</w:t>
            </w:r>
          </w:p>
        </w:tc>
        <w:tc>
          <w:tcPr>
            <w:tcW w:w="4582" w:type="dxa"/>
          </w:tcPr>
          <w:p w:rsidR="00A02265" w:rsidRPr="005A37E7" w:rsidRDefault="00A02265" w:rsidP="00B223D9">
            <w:r w:rsidRPr="005A37E7">
              <w:t>Exclusion déjà comprise dans le transfert libre ?</w:t>
            </w:r>
          </w:p>
        </w:tc>
      </w:tr>
      <w:tr w:rsidR="00A02265" w:rsidRPr="005A37E7" w:rsidTr="007B57C0">
        <w:trPr>
          <w:trHeight w:val="70"/>
        </w:trPr>
        <w:tc>
          <w:tcPr>
            <w:tcW w:w="4582" w:type="dxa"/>
            <w:vMerge w:val="restart"/>
          </w:tcPr>
          <w:p w:rsidR="00A02265" w:rsidRPr="005A37E7" w:rsidRDefault="00A02265" w:rsidP="00B223D9">
            <w:pPr>
              <w:rPr>
                <w:b/>
              </w:rPr>
            </w:pPr>
            <w:r w:rsidRPr="005A37E7">
              <w:rPr>
                <w:b/>
              </w:rPr>
              <w:t>Préemption (principes d’application)</w:t>
            </w:r>
          </w:p>
        </w:tc>
        <w:tc>
          <w:tcPr>
            <w:tcW w:w="4582" w:type="dxa"/>
          </w:tcPr>
          <w:p w:rsidR="00A02265" w:rsidRPr="005A37E7" w:rsidRDefault="00A02265" w:rsidP="009E5268">
            <w:r w:rsidRPr="005A37E7">
              <w:t xml:space="preserve">Toute transmission volontaire, directe ou indirecte, de tout ou partie des actions ou tout nantissement d’actions de la Société au bénéfice d’associés ou de tiers, hors Sociétés Concurrentes, et ceci à quelque titre et sous quelque forme que ce soit (cession, apport, </w:t>
            </w:r>
            <w:r w:rsidRPr="005A37E7">
              <w:lastRenderedPageBreak/>
              <w:t>fusion, scission,...), gratuite ou onéreuse (ci- après, «l’Opération »), seront soumis aux droits de préemption exposés ci-après :</w:t>
            </w:r>
          </w:p>
        </w:tc>
        <w:tc>
          <w:tcPr>
            <w:tcW w:w="4582" w:type="dxa"/>
          </w:tcPr>
          <w:p w:rsidR="00A02265" w:rsidRPr="005A37E7" w:rsidRDefault="00A02265" w:rsidP="00B223D9">
            <w:r w:rsidRPr="005A37E7">
              <w:lastRenderedPageBreak/>
              <w:t>-</w:t>
            </w:r>
          </w:p>
        </w:tc>
      </w:tr>
      <w:tr w:rsidR="00A02265" w:rsidRPr="005A37E7" w:rsidTr="007B57C0">
        <w:trPr>
          <w:trHeight w:val="70"/>
        </w:trPr>
        <w:tc>
          <w:tcPr>
            <w:tcW w:w="4582" w:type="dxa"/>
            <w:vMerge/>
          </w:tcPr>
          <w:p w:rsidR="00A02265" w:rsidRPr="005A37E7" w:rsidRDefault="00A02265" w:rsidP="00B223D9">
            <w:pPr>
              <w:rPr>
                <w:b/>
              </w:rPr>
            </w:pPr>
          </w:p>
        </w:tc>
        <w:tc>
          <w:tcPr>
            <w:tcW w:w="4582" w:type="dxa"/>
          </w:tcPr>
          <w:p w:rsidR="00A02265" w:rsidRPr="005A37E7" w:rsidRDefault="00A02265" w:rsidP="009E5268">
            <w:r w:rsidRPr="005A37E7">
              <w:t>La Partie souhaitant transmettre ou nantir ses actions (ci-après, "le Cédant") notifiera dans les 5 jours suivants l’offre engageante obtenue, le projet de l’Opération au Président de la Société avec mentions du bénéficiaire (nom ou dénomination sociale, adresse ou siège social, numéro RCS), du nombre d'actions concernées par l’opération, du prix ou de la valorisation s'il s'agit d'une opération à titre onéreux, et des autres conditions de l’Opération.</w:t>
            </w:r>
          </w:p>
        </w:tc>
        <w:tc>
          <w:tcPr>
            <w:tcW w:w="4582" w:type="dxa"/>
          </w:tcPr>
          <w:p w:rsidR="00A02265" w:rsidRPr="005A37E7" w:rsidRDefault="00A02265" w:rsidP="00B223D9">
            <w:r w:rsidRPr="005A37E7">
              <w:t>Les mécanismes d’application seront revus ultérieurement.</w:t>
            </w:r>
          </w:p>
        </w:tc>
      </w:tr>
      <w:tr w:rsidR="00A02265" w:rsidRPr="005A37E7" w:rsidTr="007B57C0">
        <w:trPr>
          <w:trHeight w:val="70"/>
        </w:trPr>
        <w:tc>
          <w:tcPr>
            <w:tcW w:w="4582" w:type="dxa"/>
            <w:vMerge/>
          </w:tcPr>
          <w:p w:rsidR="00A02265" w:rsidRPr="005A37E7" w:rsidRDefault="00A02265" w:rsidP="00B223D9">
            <w:pPr>
              <w:rPr>
                <w:b/>
              </w:rPr>
            </w:pPr>
          </w:p>
        </w:tc>
        <w:tc>
          <w:tcPr>
            <w:tcW w:w="4582" w:type="dxa"/>
          </w:tcPr>
          <w:p w:rsidR="00A02265" w:rsidRPr="005A37E7" w:rsidRDefault="00A02265" w:rsidP="009E5268">
            <w:r w:rsidRPr="005A37E7">
              <w:t xml:space="preserve">A compter de cette notification fondée sur l’offre engageante </w:t>
            </w:r>
            <w:proofErr w:type="spellStart"/>
            <w:r w:rsidRPr="005A37E7">
              <w:rPr>
                <w:i/>
              </w:rPr>
              <w:t>bona</w:t>
            </w:r>
            <w:proofErr w:type="spellEnd"/>
            <w:r w:rsidRPr="005A37E7">
              <w:rPr>
                <w:i/>
              </w:rPr>
              <w:t xml:space="preserve"> </w:t>
            </w:r>
            <w:proofErr w:type="spellStart"/>
            <w:r w:rsidRPr="005A37E7">
              <w:rPr>
                <w:i/>
              </w:rPr>
              <w:t>fide</w:t>
            </w:r>
            <w:proofErr w:type="spellEnd"/>
            <w:r w:rsidRPr="005A37E7">
              <w:t>, le Cédant ne peut plus renoncer à l’Opération.</w:t>
            </w:r>
          </w:p>
        </w:tc>
        <w:tc>
          <w:tcPr>
            <w:tcW w:w="4582" w:type="dxa"/>
          </w:tcPr>
          <w:p w:rsidR="00A02265" w:rsidRPr="005A37E7" w:rsidRDefault="00A02265" w:rsidP="00B223D9">
            <w:commentRangeStart w:id="36"/>
            <w:r w:rsidRPr="005A37E7">
              <w:t>Possibilité de se rétracter ?</w:t>
            </w:r>
            <w:commentRangeEnd w:id="36"/>
            <w:r w:rsidR="005F5FB5">
              <w:rPr>
                <w:rStyle w:val="Marquedecommentaire"/>
              </w:rPr>
              <w:commentReference w:id="36"/>
            </w:r>
          </w:p>
        </w:tc>
      </w:tr>
      <w:tr w:rsidR="00A02265" w:rsidRPr="005A37E7" w:rsidTr="007B57C0">
        <w:trPr>
          <w:trHeight w:val="70"/>
        </w:trPr>
        <w:tc>
          <w:tcPr>
            <w:tcW w:w="4582" w:type="dxa"/>
            <w:vMerge/>
          </w:tcPr>
          <w:p w:rsidR="00A02265" w:rsidRPr="005A37E7" w:rsidRDefault="00A02265" w:rsidP="00B223D9">
            <w:pPr>
              <w:rPr>
                <w:b/>
              </w:rPr>
            </w:pPr>
          </w:p>
        </w:tc>
        <w:tc>
          <w:tcPr>
            <w:tcW w:w="4582" w:type="dxa"/>
          </w:tcPr>
          <w:p w:rsidR="00A02265" w:rsidRPr="005A37E7" w:rsidRDefault="00A02265" w:rsidP="009E5268">
            <w:r w:rsidRPr="005A37E7">
              <w:t xml:space="preserve">Dans les 5 jours de cette notification, le Président en adressera copie aux autres Parties pour exercice éventuel de leur droit de préemption. </w:t>
            </w:r>
          </w:p>
          <w:p w:rsidR="00A02265" w:rsidRPr="005A37E7" w:rsidRDefault="00A02265" w:rsidP="009E5268">
            <w:r w:rsidRPr="005A37E7">
              <w:t>Le Président rappellera, dans son courrier, les dispositions du présent article.</w:t>
            </w:r>
          </w:p>
        </w:tc>
        <w:tc>
          <w:tcPr>
            <w:tcW w:w="4582" w:type="dxa"/>
          </w:tcPr>
          <w:p w:rsidR="00A02265" w:rsidRPr="005A37E7" w:rsidRDefault="00A02265" w:rsidP="00B223D9"/>
        </w:tc>
      </w:tr>
      <w:tr w:rsidR="00A02265" w:rsidRPr="005A37E7" w:rsidTr="007B57C0">
        <w:trPr>
          <w:trHeight w:val="70"/>
        </w:trPr>
        <w:tc>
          <w:tcPr>
            <w:tcW w:w="4582" w:type="dxa"/>
            <w:vMerge/>
          </w:tcPr>
          <w:p w:rsidR="00A02265" w:rsidRPr="005A37E7" w:rsidRDefault="00A02265" w:rsidP="00B223D9">
            <w:pPr>
              <w:rPr>
                <w:b/>
              </w:rPr>
            </w:pPr>
          </w:p>
        </w:tc>
        <w:tc>
          <w:tcPr>
            <w:tcW w:w="4582" w:type="dxa"/>
          </w:tcPr>
          <w:p w:rsidR="00A02265" w:rsidRPr="005A37E7" w:rsidRDefault="00A02265" w:rsidP="009E5268">
            <w:r w:rsidRPr="005A37E7">
              <w:t xml:space="preserve">La Partie désirant exercer son droit de préemption devra en informer le Président dans un délai de 30 jours à compter de la notification </w:t>
            </w:r>
            <w:r w:rsidRPr="005A37E7">
              <w:lastRenderedPageBreak/>
              <w:t xml:space="preserve">envoyée par le Président de la Société, avec mention du nombre d'actions préemptées. </w:t>
            </w:r>
          </w:p>
        </w:tc>
        <w:tc>
          <w:tcPr>
            <w:tcW w:w="4582" w:type="dxa"/>
          </w:tcPr>
          <w:p w:rsidR="00A02265" w:rsidRPr="005A37E7" w:rsidRDefault="00A02265" w:rsidP="009E5268">
            <w:commentRangeStart w:id="37"/>
            <w:r w:rsidRPr="005A37E7">
              <w:lastRenderedPageBreak/>
              <w:t xml:space="preserve">Possibilité pour l’ADEME de se faire substituer par un de ses affiliés dans l’exercice de son droit de préemption (CF définition des affiliés de </w:t>
            </w:r>
            <w:r w:rsidRPr="005A37E7">
              <w:lastRenderedPageBreak/>
              <w:t>l’ADEME ci-dessus)</w:t>
            </w:r>
            <w:commentRangeEnd w:id="37"/>
            <w:r w:rsidR="005F5FB5">
              <w:rPr>
                <w:rStyle w:val="Marquedecommentaire"/>
              </w:rPr>
              <w:commentReference w:id="37"/>
            </w:r>
          </w:p>
        </w:tc>
      </w:tr>
      <w:tr w:rsidR="00A02265" w:rsidRPr="005A37E7" w:rsidTr="007B57C0">
        <w:trPr>
          <w:trHeight w:val="70"/>
        </w:trPr>
        <w:tc>
          <w:tcPr>
            <w:tcW w:w="4582" w:type="dxa"/>
            <w:vMerge/>
          </w:tcPr>
          <w:p w:rsidR="00A02265" w:rsidRPr="005A37E7" w:rsidRDefault="00A02265" w:rsidP="00B223D9">
            <w:pPr>
              <w:rPr>
                <w:b/>
              </w:rPr>
            </w:pPr>
          </w:p>
        </w:tc>
        <w:tc>
          <w:tcPr>
            <w:tcW w:w="4582" w:type="dxa"/>
          </w:tcPr>
          <w:p w:rsidR="00A02265" w:rsidRPr="005A37E7" w:rsidRDefault="00A02265" w:rsidP="009E5268">
            <w:r w:rsidRPr="005A37E7">
              <w:t>A défaut, elle sera réputée avoir définitivement renoncé à son droit de préemption pour l’Opération en cause.</w:t>
            </w:r>
          </w:p>
          <w:p w:rsidR="00A02265" w:rsidRPr="005A37E7" w:rsidRDefault="00A02265" w:rsidP="009E5268">
            <w:r w:rsidRPr="005A37E7">
              <w:t>Le Président adressera à la Partie ayant exercé son droit de préemption ainsi qu'au Cédant le nom du ou des acquéreur(s) avec le nombre d’actions préemptées par chacun d'eux dans un délai maximal de 5 jours à com</w:t>
            </w:r>
            <w:r>
              <w:t xml:space="preserve">pter de l'expiration du délai de </w:t>
            </w:r>
            <w:r w:rsidRPr="005A37E7">
              <w:t>notification de l'exercice du droit de préemption ci-dessus.</w:t>
            </w:r>
          </w:p>
          <w:p w:rsidR="00A02265" w:rsidRPr="005A37E7" w:rsidRDefault="00A02265" w:rsidP="009E5268">
            <w:r w:rsidRPr="005A37E7">
              <w:t>Si les actions n’ont pas été préemptées, le Président en informera le Cédant.</w:t>
            </w:r>
          </w:p>
        </w:tc>
        <w:tc>
          <w:tcPr>
            <w:tcW w:w="4582" w:type="dxa"/>
          </w:tcPr>
          <w:p w:rsidR="00A02265" w:rsidRPr="005A37E7" w:rsidRDefault="00A02265" w:rsidP="00B223D9">
            <w:r w:rsidRPr="005A37E7">
              <w:t>Les mécanismes d’application seront revus ultérieurement.</w:t>
            </w:r>
          </w:p>
        </w:tc>
      </w:tr>
      <w:tr w:rsidR="00A02265" w:rsidRPr="005A37E7" w:rsidTr="007B57C0">
        <w:trPr>
          <w:trHeight w:val="70"/>
        </w:trPr>
        <w:tc>
          <w:tcPr>
            <w:tcW w:w="4582" w:type="dxa"/>
            <w:vMerge/>
          </w:tcPr>
          <w:p w:rsidR="00A02265" w:rsidRPr="005A37E7" w:rsidRDefault="00A02265" w:rsidP="00B223D9">
            <w:pPr>
              <w:rPr>
                <w:b/>
              </w:rPr>
            </w:pPr>
          </w:p>
        </w:tc>
        <w:tc>
          <w:tcPr>
            <w:tcW w:w="4582" w:type="dxa"/>
          </w:tcPr>
          <w:p w:rsidR="00A02265" w:rsidRPr="005A37E7" w:rsidRDefault="00A02265" w:rsidP="009E5268">
            <w:r w:rsidRPr="005A37E7">
              <w:t>Le prix des actions correspondra au prix et aux conditions ou à la valorisation indiqués dans le projet notifié par le Cédant à la Société.</w:t>
            </w:r>
          </w:p>
          <w:p w:rsidR="00A02265" w:rsidRPr="005A37E7" w:rsidRDefault="00A02265" w:rsidP="009E5268">
            <w:r w:rsidRPr="005A37E7">
              <w:t>En cas de désaccord sur le prix, ce dernier sera déterminé par un tiers expert nommé par le président du Tribunal de Commerce de Paris/Clermont Ferrand.</w:t>
            </w:r>
          </w:p>
        </w:tc>
        <w:tc>
          <w:tcPr>
            <w:tcW w:w="4582" w:type="dxa"/>
          </w:tcPr>
          <w:p w:rsidR="00A02265" w:rsidRPr="005A37E7" w:rsidRDefault="00A02265" w:rsidP="00B223D9">
            <w:r>
              <w:t>Préemption aux conditions du T</w:t>
            </w:r>
            <w:r w:rsidRPr="005A37E7">
              <w:t>iers</w:t>
            </w:r>
            <w:r>
              <w:t>.</w:t>
            </w:r>
          </w:p>
          <w:p w:rsidR="00A02265" w:rsidRPr="005A37E7" w:rsidRDefault="00A02265" w:rsidP="00B223D9">
            <w:commentRangeStart w:id="38"/>
            <w:r w:rsidRPr="005A37E7">
              <w:t>Le Tribunal de commerce sera celui de Paris.</w:t>
            </w:r>
            <w:commentRangeEnd w:id="38"/>
            <w:r w:rsidR="00EC1775">
              <w:rPr>
                <w:rStyle w:val="Marquedecommentaire"/>
              </w:rPr>
              <w:commentReference w:id="38"/>
            </w:r>
          </w:p>
        </w:tc>
      </w:tr>
      <w:tr w:rsidR="00A02265" w:rsidRPr="005A37E7" w:rsidTr="007B57C0">
        <w:trPr>
          <w:trHeight w:val="70"/>
        </w:trPr>
        <w:tc>
          <w:tcPr>
            <w:tcW w:w="4582" w:type="dxa"/>
            <w:vMerge/>
          </w:tcPr>
          <w:p w:rsidR="00A02265" w:rsidRPr="005A37E7" w:rsidRDefault="00A02265" w:rsidP="00B223D9">
            <w:pPr>
              <w:rPr>
                <w:b/>
              </w:rPr>
            </w:pPr>
          </w:p>
        </w:tc>
        <w:tc>
          <w:tcPr>
            <w:tcW w:w="4582" w:type="dxa"/>
          </w:tcPr>
          <w:p w:rsidR="00A02265" w:rsidRPr="005A37E7" w:rsidRDefault="00A02265" w:rsidP="009E5268">
            <w:r w:rsidRPr="005A37E7">
              <w:t xml:space="preserve">L’Opération sera réalisée dans le mois suivant la réception de la liste établie par le Président ou de l’information de ce dernier de l’absence de </w:t>
            </w:r>
            <w:r w:rsidRPr="005A37E7">
              <w:lastRenderedPageBreak/>
              <w:t>préemption.</w:t>
            </w:r>
          </w:p>
          <w:p w:rsidR="00A02265" w:rsidRPr="005A37E7" w:rsidRDefault="00A02265" w:rsidP="009E5268">
            <w:r w:rsidRPr="005A37E7">
              <w:t>Le Cédant sera libre de céder les actions non préemptées, mais uniquement aux prix et conditions contenus dans sa notification, y compris l’identité du cessionnaire et sous réserve des dispositions des présents statuts relatives à l'agrément.</w:t>
            </w:r>
          </w:p>
          <w:p w:rsidR="00A02265" w:rsidRPr="005A37E7" w:rsidRDefault="00A02265" w:rsidP="009E5268">
            <w:r w:rsidRPr="005A37E7">
              <w:t>Tous les courriers aux associés seront envoyés par lettre recommandée avec avis de réception ou par acte extrajudiciaire.</w:t>
            </w:r>
          </w:p>
          <w:p w:rsidR="00A02265" w:rsidRPr="005A37E7" w:rsidRDefault="00A02265" w:rsidP="009E5268">
            <w:r w:rsidRPr="005A37E7">
              <w:t>Toute transmission ou nantissement effectués en violation des clauses ci-dessus est nul.</w:t>
            </w:r>
          </w:p>
        </w:tc>
        <w:tc>
          <w:tcPr>
            <w:tcW w:w="4582" w:type="dxa"/>
          </w:tcPr>
          <w:p w:rsidR="00A02265" w:rsidRPr="005A37E7" w:rsidRDefault="00A02265" w:rsidP="00B223D9">
            <w:r w:rsidRPr="005A37E7">
              <w:lastRenderedPageBreak/>
              <w:t>Les mécanismes d’application seront revus ultérieurement.</w:t>
            </w:r>
          </w:p>
        </w:tc>
      </w:tr>
      <w:tr w:rsidR="00A02265" w:rsidRPr="005A37E7" w:rsidTr="007B57C0">
        <w:trPr>
          <w:trHeight w:val="70"/>
        </w:trPr>
        <w:tc>
          <w:tcPr>
            <w:tcW w:w="4582" w:type="dxa"/>
          </w:tcPr>
          <w:p w:rsidR="00A02265" w:rsidRPr="005A37E7" w:rsidRDefault="00A02265" w:rsidP="00B223D9">
            <w:pPr>
              <w:rPr>
                <w:b/>
              </w:rPr>
            </w:pPr>
            <w:r w:rsidRPr="005A37E7">
              <w:rPr>
                <w:b/>
              </w:rPr>
              <w:lastRenderedPageBreak/>
              <w:t xml:space="preserve">Agrément </w:t>
            </w:r>
          </w:p>
        </w:tc>
        <w:tc>
          <w:tcPr>
            <w:tcW w:w="4582" w:type="dxa"/>
          </w:tcPr>
          <w:p w:rsidR="00A02265" w:rsidRPr="005A37E7" w:rsidRDefault="00A02265" w:rsidP="009E5268">
            <w:r w:rsidRPr="005A37E7">
              <w:t>La cession des actions peut avoir lieu en tout ou partie au profit de tiers sous réserve de l’agrément des autres Parties.</w:t>
            </w:r>
          </w:p>
          <w:p w:rsidR="00A02265" w:rsidRPr="005A37E7" w:rsidRDefault="00A02265" w:rsidP="009E5268">
            <w:r w:rsidRPr="005A37E7">
              <w:t>Les Opérations réalisées par une Partie au profit d'une société du même Groupe (au sens de l’article L. 233-3 (I) du code de commerce) sont exclues du champ de la présente procédure d’agrément.</w:t>
            </w:r>
          </w:p>
          <w:p w:rsidR="00A02265" w:rsidRPr="005A37E7" w:rsidRDefault="00A02265" w:rsidP="009E5268">
            <w:r w:rsidRPr="005A37E7">
              <w:t xml:space="preserve">Lorsque tout ou partie des actions dont la transmission ou le nantissement est projeté au titre d’une Opération n'auront pas été préemptées dans les conditions prévues à l’article intitulé Droit de préemption, le cédant </w:t>
            </w:r>
            <w:r w:rsidRPr="005A37E7">
              <w:lastRenderedPageBreak/>
              <w:t>devra se soumettre à la procédure d'agrément prévue ci-après.</w:t>
            </w:r>
          </w:p>
          <w:p w:rsidR="00A02265" w:rsidRPr="005A37E7" w:rsidRDefault="00A02265" w:rsidP="009E5268">
            <w:r w:rsidRPr="005A37E7">
              <w:t xml:space="preserve">Dans le mois suivant la notification de la liste du ou des acquéreurs par le Président ou l’information donnée par ce dernier relativement à l’absence d’exercice du droit de préemption, le Président de la société réunit le Comité de Surveillance afin que celui-ci se prononce sur l’agrément du futur cessionnaire ou du bénéficiaire du nantissement. </w:t>
            </w:r>
          </w:p>
          <w:p w:rsidR="00A02265" w:rsidRPr="005A37E7" w:rsidRDefault="00A02265" w:rsidP="009E5268">
            <w:r w:rsidRPr="005A37E7">
              <w:t xml:space="preserve">La décision du Comité de Surveillance est prise par </w:t>
            </w:r>
            <w:r w:rsidRPr="00A120DD">
              <w:rPr>
                <w:u w:val="single"/>
              </w:rPr>
              <w:t>accord unanime</w:t>
            </w:r>
            <w:r w:rsidRPr="005A37E7">
              <w:t xml:space="preserve"> des membres représentants UKAD, ADEME et CA.</w:t>
            </w:r>
          </w:p>
          <w:p w:rsidR="00A02265" w:rsidRPr="005A37E7" w:rsidRDefault="00A02265" w:rsidP="009E5268">
            <w:r w:rsidRPr="005A37E7">
              <w:t>Le Président de la Société, dans les 15 jours de la décision du Comité de Surveillance, notifiera celle-ci au Cédant. L’absence de réponse dans les 2 mois de la notification de la liste du ou des acquéreurs ou de l’information de l’absence de préemption par le Président vaut agrément tacite.</w:t>
            </w:r>
          </w:p>
          <w:p w:rsidR="00A02265" w:rsidRPr="005A37E7" w:rsidRDefault="00A02265" w:rsidP="009E5268">
            <w:r w:rsidRPr="005A37E7">
              <w:t>La décision d’agrément ou de refus d’agrément n’a pas à être motivée.</w:t>
            </w:r>
          </w:p>
          <w:p w:rsidR="00A02265" w:rsidRPr="005A37E7" w:rsidRDefault="00A02265" w:rsidP="009E5268">
            <w:r w:rsidRPr="005A37E7">
              <w:t xml:space="preserve">Si le(s) cessionnaire(s) ou le bénéficiaire du nantissement proposé(s) est agréé(s) ou que l’agrément est réputé acquis, l’Opération est </w:t>
            </w:r>
            <w:r w:rsidRPr="005A37E7">
              <w:lastRenderedPageBreak/>
              <w:t>régularisée à son profit dans le délai de trois mois suivant la notification de la décision d'agrément ou l’agrément tacite, faute de quoi une nouvelle procédure de préemption et d'agrément devra être mise en œuvre.</w:t>
            </w:r>
          </w:p>
          <w:p w:rsidR="00A02265" w:rsidRPr="005A37E7" w:rsidRDefault="00A02265" w:rsidP="009E5268">
            <w:r w:rsidRPr="005A37E7">
              <w:t>Toute cession ou nantissement d'actions intervenu en violation des dispositions relatives aux procédures d'agrément ci-dessus est nul.</w:t>
            </w:r>
          </w:p>
          <w:p w:rsidR="00A02265" w:rsidRPr="005A37E7" w:rsidRDefault="00A02265" w:rsidP="009E5268">
            <w:r w:rsidRPr="005A37E7">
              <w:t>Tous les courriers aux associés seront envoyés par lettre recommandée avec avis de réception ou par acte extrajudiciaire.</w:t>
            </w:r>
          </w:p>
          <w:p w:rsidR="00A02265" w:rsidRPr="005A37E7" w:rsidRDefault="00A02265" w:rsidP="009E5268">
            <w:r w:rsidRPr="005A37E7">
              <w:t>Si le Cessionnaire proposé par le Cédant n’est pas agréé et si le Cédant ne fait pas connaître à la Société, dans un délai d’un (1) mois à compter de la notification de la décision de refus d’agrément, qu’il renonce à la Cession, la Société sera tenue de faire racheter les actions, soit par un ou plusieurs associés ou tiers, soit par elle-même en vue d’une réduction du capital social, dans un délai de six (6) mois à compter de la notification au Cédant de la décision de refus d’agrément soit au prix proposé par le tiers soit au prix fixé par un expert désigné par les Parties d’un commun accord ou à défaut par un expert judiciaire désigné conformément à l’article 1843-4 du code civil.</w:t>
            </w:r>
          </w:p>
          <w:p w:rsidR="00A02265" w:rsidRPr="005A37E7" w:rsidRDefault="00A02265" w:rsidP="009E5268">
            <w:r w:rsidRPr="005A37E7">
              <w:lastRenderedPageBreak/>
              <w:t>Si, à l’expiration du délai de soixante (60) jours à compter de la notification du refus d’agrément, l’achat de la totalité des actions sur lesquels portait la demande du Cédant n’est pas réalisé, l’agrément sera considéré comme donné.</w:t>
            </w:r>
          </w:p>
        </w:tc>
        <w:tc>
          <w:tcPr>
            <w:tcW w:w="4582" w:type="dxa"/>
          </w:tcPr>
          <w:p w:rsidR="00A02265" w:rsidRPr="005A37E7" w:rsidRDefault="00A02265" w:rsidP="00B223D9"/>
        </w:tc>
      </w:tr>
      <w:tr w:rsidR="00A02265" w:rsidRPr="005A37E7" w:rsidTr="009E5268">
        <w:tc>
          <w:tcPr>
            <w:tcW w:w="13746" w:type="dxa"/>
            <w:gridSpan w:val="3"/>
            <w:shd w:val="clear" w:color="auto" w:fill="C6D9F1" w:themeFill="text2" w:themeFillTint="33"/>
          </w:tcPr>
          <w:p w:rsidR="00A02265" w:rsidRPr="005A37E7" w:rsidRDefault="00A02265" w:rsidP="009E5268">
            <w:pPr>
              <w:rPr>
                <w:b/>
              </w:rPr>
            </w:pPr>
          </w:p>
          <w:p w:rsidR="00A02265" w:rsidRPr="005A37E7" w:rsidRDefault="00A02265" w:rsidP="00B42E96">
            <w:pPr>
              <w:rPr>
                <w:b/>
              </w:rPr>
            </w:pPr>
            <w:r w:rsidRPr="005A37E7">
              <w:rPr>
                <w:b/>
              </w:rPr>
              <w:t>Cession à un Tiers par l’Industriel</w:t>
            </w:r>
          </w:p>
        </w:tc>
      </w:tr>
      <w:tr w:rsidR="00A02265" w:rsidRPr="005A37E7" w:rsidTr="007B57C0">
        <w:trPr>
          <w:trHeight w:val="70"/>
        </w:trPr>
        <w:tc>
          <w:tcPr>
            <w:tcW w:w="4582" w:type="dxa"/>
          </w:tcPr>
          <w:p w:rsidR="00A02265" w:rsidRPr="008500F2" w:rsidRDefault="00A02265" w:rsidP="00B223D9">
            <w:pPr>
              <w:rPr>
                <w:b/>
              </w:rPr>
            </w:pPr>
            <w:r w:rsidRPr="005A37E7">
              <w:rPr>
                <w:b/>
              </w:rPr>
              <w:t>Droit de sortie conjointe – Tag-</w:t>
            </w:r>
            <w:proofErr w:type="spellStart"/>
            <w:r w:rsidRPr="005A37E7">
              <w:rPr>
                <w:b/>
              </w:rPr>
              <w:t>along</w:t>
            </w:r>
            <w:proofErr w:type="spellEnd"/>
            <w:r w:rsidRPr="005A37E7">
              <w:rPr>
                <w:b/>
              </w:rPr>
              <w:t xml:space="preserve"> – au profit des Investisseurs Financiers</w:t>
            </w:r>
          </w:p>
        </w:tc>
        <w:tc>
          <w:tcPr>
            <w:tcW w:w="4582" w:type="dxa"/>
          </w:tcPr>
          <w:p w:rsidR="00A02265" w:rsidRPr="005A37E7" w:rsidRDefault="00A02265" w:rsidP="00B223D9"/>
        </w:tc>
        <w:tc>
          <w:tcPr>
            <w:tcW w:w="4582" w:type="dxa"/>
          </w:tcPr>
          <w:p w:rsidR="00A02265" w:rsidRPr="005A37E7" w:rsidRDefault="00A02265" w:rsidP="009E5268">
            <w:commentRangeStart w:id="39"/>
            <w:r w:rsidRPr="005A37E7">
              <w:t>En cas de cession totale ou partielle à un tiers des titres détenus par UKAD dans Ecotitanium  et à défaut d’exercice de leur droit de préemption, les Investisseurs bénéficient d’un droit de sortie conjointe aux conditions suivantes :</w:t>
            </w:r>
          </w:p>
          <w:p w:rsidR="00A02265" w:rsidRPr="005A37E7" w:rsidRDefault="00A02265" w:rsidP="009E5268">
            <w:r>
              <w:t xml:space="preserve">- </w:t>
            </w:r>
            <w:r w:rsidRPr="005A37E7">
              <w:t>Etendue de la cession des titres de l’Investisseur Financier : proportionnel ou total au choix de l’Investisseur Financier.</w:t>
            </w:r>
            <w:r>
              <w:t xml:space="preserve"> L</w:t>
            </w:r>
            <w:r w:rsidRPr="005A37E7">
              <w:t xml:space="preserve">’Investisseur Financier peut choisir de céder à </w:t>
            </w:r>
            <w:proofErr w:type="spellStart"/>
            <w:r w:rsidRPr="005A37E7">
              <w:t>dû</w:t>
            </w:r>
            <w:r>
              <w:t>e</w:t>
            </w:r>
            <w:proofErr w:type="spellEnd"/>
            <w:r w:rsidRPr="005A37E7">
              <w:t xml:space="preserve"> concurrence du % cédé p</w:t>
            </w:r>
            <w:r>
              <w:t>ar UKAD ou de sortir totalement.</w:t>
            </w:r>
          </w:p>
          <w:p w:rsidR="00A02265" w:rsidRPr="005A37E7" w:rsidRDefault="00A02265" w:rsidP="009E5268">
            <w:r>
              <w:t xml:space="preserve">- </w:t>
            </w:r>
            <w:r w:rsidRPr="005A37E7">
              <w:t>Prix : le plus élevé entre le prix du Tiers et le Prix Conventionnel</w:t>
            </w:r>
            <w:r>
              <w:t>.</w:t>
            </w:r>
            <w:commentRangeEnd w:id="39"/>
            <w:r w:rsidR="00EC1775">
              <w:rPr>
                <w:rStyle w:val="Marquedecommentaire"/>
              </w:rPr>
              <w:commentReference w:id="39"/>
            </w:r>
          </w:p>
          <w:p w:rsidR="00A02265" w:rsidRPr="005A37E7" w:rsidRDefault="00A02265" w:rsidP="009E5268">
            <w:commentRangeStart w:id="40"/>
            <w:r w:rsidRPr="005A37E7">
              <w:t xml:space="preserve">UKAD  ne pourra céder ses actions à un tiers sans faire en sorte que les Investisseurs Financiers puissent exercer l’intégralité de leurs droits au titre du présent paragraphe et sera </w:t>
            </w:r>
            <w:r w:rsidRPr="005A37E7">
              <w:lastRenderedPageBreak/>
              <w:t>tenue, à défaut, d’acquérir elle-même les titres des Investisseurs Financiers.</w:t>
            </w:r>
            <w:commentRangeEnd w:id="40"/>
            <w:r w:rsidR="000E13CF">
              <w:rPr>
                <w:rStyle w:val="Marquedecommentaire"/>
              </w:rPr>
              <w:commentReference w:id="40"/>
            </w:r>
          </w:p>
        </w:tc>
      </w:tr>
      <w:tr w:rsidR="00A02265" w:rsidRPr="005A37E7" w:rsidTr="009E5268">
        <w:tc>
          <w:tcPr>
            <w:tcW w:w="13746" w:type="dxa"/>
            <w:gridSpan w:val="3"/>
            <w:shd w:val="clear" w:color="auto" w:fill="C6D9F1" w:themeFill="text2" w:themeFillTint="33"/>
          </w:tcPr>
          <w:p w:rsidR="00A02265" w:rsidRPr="005A37E7" w:rsidRDefault="00A02265" w:rsidP="009E5268">
            <w:pPr>
              <w:rPr>
                <w:b/>
              </w:rPr>
            </w:pPr>
          </w:p>
          <w:p w:rsidR="00A02265" w:rsidRPr="005A37E7" w:rsidRDefault="00A02265" w:rsidP="00B42E96">
            <w:pPr>
              <w:rPr>
                <w:b/>
              </w:rPr>
            </w:pPr>
            <w:r w:rsidRPr="005A37E7">
              <w:rPr>
                <w:b/>
              </w:rPr>
              <w:t>Cession à un Tiers par un Investisseur Financier</w:t>
            </w:r>
          </w:p>
        </w:tc>
      </w:tr>
      <w:tr w:rsidR="00A02265" w:rsidRPr="005A37E7" w:rsidTr="007B57C0">
        <w:trPr>
          <w:trHeight w:val="70"/>
        </w:trPr>
        <w:tc>
          <w:tcPr>
            <w:tcW w:w="4582" w:type="dxa"/>
          </w:tcPr>
          <w:p w:rsidR="00A02265" w:rsidRPr="005A37E7" w:rsidRDefault="00A02265" w:rsidP="009E5268">
            <w:pPr>
              <w:rPr>
                <w:b/>
              </w:rPr>
            </w:pPr>
            <w:r w:rsidRPr="005A37E7">
              <w:rPr>
                <w:b/>
              </w:rPr>
              <w:t>Clause de non-concurrence</w:t>
            </w:r>
          </w:p>
        </w:tc>
        <w:tc>
          <w:tcPr>
            <w:tcW w:w="4582" w:type="dxa"/>
          </w:tcPr>
          <w:p w:rsidR="00A02265" w:rsidRPr="005A37E7" w:rsidRDefault="00A02265" w:rsidP="002B4E94">
            <w:pPr>
              <w:spacing w:beforeLines="60" w:before="144" w:after="0"/>
              <w:rPr>
                <w:rFonts w:ascii="Arial" w:hAnsi="Arial" w:cs="Arial"/>
              </w:rPr>
            </w:pPr>
            <w:r w:rsidRPr="005A37E7">
              <w:t>Il est entendu entre les parties que ces dernières s’engagent à ne pas céder leur participation à des Sociétés Concurrentes d’UKAD (Sociétés élaboratrices d’alliages de titane) pendant toute la durée du pacte.</w:t>
            </w:r>
          </w:p>
        </w:tc>
        <w:tc>
          <w:tcPr>
            <w:tcW w:w="4582" w:type="dxa"/>
          </w:tcPr>
          <w:p w:rsidR="00A02265" w:rsidRPr="005A37E7" w:rsidRDefault="00A02265" w:rsidP="008500F2">
            <w:commentRangeStart w:id="41"/>
            <w:r w:rsidRPr="005A37E7">
              <w:t xml:space="preserve">Clause de non concurrence à discuter. </w:t>
            </w:r>
            <w:r>
              <w:t>E</w:t>
            </w:r>
            <w:r w:rsidRPr="005A37E7">
              <w:t>lle ne doit pas s’appliquer après q</w:t>
            </w:r>
            <w:r>
              <w:t>u’UKAD ait eu la possibilité d’acheter ces titres (voir ci-dessus)</w:t>
            </w:r>
            <w:commentRangeEnd w:id="41"/>
            <w:r w:rsidR="00D45A46">
              <w:rPr>
                <w:rStyle w:val="Marquedecommentaire"/>
              </w:rPr>
              <w:commentReference w:id="41"/>
            </w:r>
          </w:p>
        </w:tc>
      </w:tr>
      <w:tr w:rsidR="00A02265" w:rsidRPr="005A37E7" w:rsidTr="007B57C0">
        <w:trPr>
          <w:trHeight w:val="70"/>
        </w:trPr>
        <w:tc>
          <w:tcPr>
            <w:tcW w:w="4582" w:type="dxa"/>
          </w:tcPr>
          <w:p w:rsidR="00A02265" w:rsidRDefault="00A02265" w:rsidP="00B223D9">
            <w:pPr>
              <w:rPr>
                <w:b/>
              </w:rPr>
            </w:pPr>
            <w:r w:rsidRPr="005A37E7">
              <w:rPr>
                <w:b/>
              </w:rPr>
              <w:t>Obligation de sortie conjointe</w:t>
            </w:r>
          </w:p>
          <w:p w:rsidR="00A02265" w:rsidRPr="008500F2" w:rsidRDefault="00A02265" w:rsidP="00B223D9">
            <w:pPr>
              <w:rPr>
                <w:i/>
              </w:rPr>
            </w:pPr>
            <w:r w:rsidRPr="008500F2">
              <w:rPr>
                <w:i/>
              </w:rPr>
              <w:t xml:space="preserve"> - Violation par UKAD de son obligation de rachat - </w:t>
            </w:r>
          </w:p>
          <w:p w:rsidR="00A02265" w:rsidRPr="005A37E7" w:rsidRDefault="00A02265" w:rsidP="008500F2">
            <w:pPr>
              <w:rPr>
                <w:b/>
              </w:rPr>
            </w:pPr>
          </w:p>
        </w:tc>
        <w:tc>
          <w:tcPr>
            <w:tcW w:w="4582" w:type="dxa"/>
          </w:tcPr>
          <w:p w:rsidR="00A02265" w:rsidRPr="005A37E7" w:rsidRDefault="00A02265" w:rsidP="00B223D9"/>
        </w:tc>
        <w:tc>
          <w:tcPr>
            <w:tcW w:w="4582" w:type="dxa"/>
          </w:tcPr>
          <w:p w:rsidR="00A02265" w:rsidRPr="005A37E7" w:rsidRDefault="00A02265" w:rsidP="002B4E94">
            <w:pPr>
              <w:spacing w:beforeLines="60" w:before="144" w:after="0"/>
            </w:pPr>
            <w:r w:rsidRPr="005A37E7">
              <w:t xml:space="preserve">Conditions d’applications : </w:t>
            </w:r>
          </w:p>
          <w:p w:rsidR="00A02265" w:rsidRPr="005A37E7" w:rsidRDefault="00A02265" w:rsidP="002B4E94">
            <w:pPr>
              <w:pStyle w:val="Paragraphedeliste"/>
              <w:numPr>
                <w:ilvl w:val="0"/>
                <w:numId w:val="29"/>
              </w:numPr>
              <w:spacing w:beforeLines="60" w:before="144" w:after="0"/>
            </w:pPr>
            <w:r w:rsidRPr="005A37E7">
              <w:t>En cas de non-respect par UKAD (et ses actionnaires) de ses obligations au titre de l’obligation de rachat des titres des Investisseurs Financiers</w:t>
            </w:r>
          </w:p>
          <w:p w:rsidR="00A02265" w:rsidRPr="005A37E7" w:rsidRDefault="00A02265" w:rsidP="002B4E94">
            <w:pPr>
              <w:spacing w:beforeLines="60" w:before="144" w:after="0"/>
            </w:pPr>
            <w:r w:rsidRPr="005A37E7">
              <w:t>Principe d’application :</w:t>
            </w:r>
          </w:p>
          <w:p w:rsidR="00A02265" w:rsidRPr="005A37E7" w:rsidRDefault="00A02265" w:rsidP="002B4E94">
            <w:pPr>
              <w:pStyle w:val="Paragraphedeliste"/>
              <w:numPr>
                <w:ilvl w:val="0"/>
                <w:numId w:val="29"/>
              </w:numPr>
              <w:spacing w:beforeLines="60" w:before="144" w:after="0"/>
            </w:pPr>
            <w:commentRangeStart w:id="42"/>
            <w:r w:rsidRPr="005A37E7">
              <w:t>Au Profit des Investisseurs Financiers</w:t>
            </w:r>
          </w:p>
          <w:p w:rsidR="00A02265" w:rsidRPr="005A37E7" w:rsidRDefault="00A02265" w:rsidP="002B4E94">
            <w:pPr>
              <w:pStyle w:val="Paragraphedeliste"/>
              <w:numPr>
                <w:ilvl w:val="0"/>
                <w:numId w:val="29"/>
              </w:numPr>
              <w:spacing w:beforeLines="60" w:before="144" w:after="0"/>
            </w:pPr>
            <w:r w:rsidRPr="005A37E7">
              <w:t>En cas d’offre d’un tiers portant sur 100 % du capital et acceptée par les Investisseurs Financiers, ceux-ci pourront exiger d’UKAD la cession concomitante et aux mêmes conditions des titres que les Investisseurs Financiers,</w:t>
            </w:r>
            <w:commentRangeEnd w:id="42"/>
            <w:r w:rsidR="00322423">
              <w:rPr>
                <w:rStyle w:val="Marquedecommentaire"/>
                <w:rFonts w:asciiTheme="minorHAnsi" w:eastAsiaTheme="minorHAnsi" w:hAnsiTheme="minorHAnsi" w:cstheme="minorBidi"/>
              </w:rPr>
              <w:commentReference w:id="42"/>
            </w:r>
          </w:p>
          <w:p w:rsidR="00A02265" w:rsidRPr="005A37E7" w:rsidRDefault="00A02265" w:rsidP="002B4E94">
            <w:pPr>
              <w:spacing w:beforeLines="60" w:before="144" w:after="0"/>
            </w:pPr>
            <w:r w:rsidRPr="005A37E7">
              <w:t xml:space="preserve">L’application de ce droit est sans préjudice des </w:t>
            </w:r>
            <w:r w:rsidRPr="005A37E7">
              <w:lastRenderedPageBreak/>
              <w:t>éventuelles actions que les Investisseurs Financiers entreprendraient individuellement ou solidairement pour faire appliquer la promesse d’achat d’UKAD</w:t>
            </w:r>
            <w:r>
              <w:t>.</w:t>
            </w:r>
          </w:p>
        </w:tc>
      </w:tr>
      <w:tr w:rsidR="00A02265" w:rsidRPr="005A37E7" w:rsidTr="009E5268">
        <w:tc>
          <w:tcPr>
            <w:tcW w:w="13746" w:type="dxa"/>
            <w:gridSpan w:val="3"/>
            <w:shd w:val="clear" w:color="auto" w:fill="C6D9F1" w:themeFill="text2" w:themeFillTint="33"/>
          </w:tcPr>
          <w:p w:rsidR="00A02265" w:rsidRPr="005A37E7" w:rsidRDefault="00A02265" w:rsidP="009E5268">
            <w:pPr>
              <w:rPr>
                <w:b/>
              </w:rPr>
            </w:pPr>
          </w:p>
          <w:p w:rsidR="00A02265" w:rsidRPr="005A37E7" w:rsidRDefault="00A02265" w:rsidP="00B42E96">
            <w:pPr>
              <w:rPr>
                <w:b/>
              </w:rPr>
            </w:pPr>
            <w:r w:rsidRPr="005A37E7">
              <w:rPr>
                <w:b/>
              </w:rPr>
              <w:t>Clauses spécifiques liées à la structuration de la filière Titane</w:t>
            </w:r>
          </w:p>
        </w:tc>
      </w:tr>
      <w:tr w:rsidR="00A02265" w:rsidRPr="005A37E7" w:rsidTr="007B57C0">
        <w:trPr>
          <w:trHeight w:val="70"/>
        </w:trPr>
        <w:tc>
          <w:tcPr>
            <w:tcW w:w="4582" w:type="dxa"/>
          </w:tcPr>
          <w:p w:rsidR="00A02265" w:rsidRPr="005A37E7" w:rsidRDefault="00A02265" w:rsidP="00B223D9">
            <w:pPr>
              <w:rPr>
                <w:b/>
              </w:rPr>
            </w:pPr>
            <w:r w:rsidRPr="005A37E7">
              <w:rPr>
                <w:b/>
              </w:rPr>
              <w:t>Garantie « Maison mère »</w:t>
            </w:r>
          </w:p>
        </w:tc>
        <w:tc>
          <w:tcPr>
            <w:tcW w:w="4582" w:type="dxa"/>
          </w:tcPr>
          <w:p w:rsidR="00A02265" w:rsidRPr="005A37E7" w:rsidRDefault="00A02265" w:rsidP="00B223D9"/>
        </w:tc>
        <w:tc>
          <w:tcPr>
            <w:tcW w:w="4582" w:type="dxa"/>
          </w:tcPr>
          <w:p w:rsidR="00A02265" w:rsidRPr="005A37E7" w:rsidRDefault="00A02265" w:rsidP="00B223D9">
            <w:commentRangeStart w:id="43"/>
            <w:r w:rsidRPr="005A37E7">
              <w:t>A&amp;D et/ou UKTMP garantissent le respect des obligations d’UKAD</w:t>
            </w:r>
            <w:commentRangeEnd w:id="43"/>
            <w:r w:rsidR="007B1CC1">
              <w:rPr>
                <w:rStyle w:val="Marquedecommentaire"/>
              </w:rPr>
              <w:commentReference w:id="43"/>
            </w:r>
          </w:p>
        </w:tc>
      </w:tr>
      <w:tr w:rsidR="00A02265" w:rsidRPr="005A37E7" w:rsidTr="009E5268">
        <w:tc>
          <w:tcPr>
            <w:tcW w:w="13746" w:type="dxa"/>
            <w:gridSpan w:val="3"/>
            <w:shd w:val="clear" w:color="auto" w:fill="C6D9F1" w:themeFill="text2" w:themeFillTint="33"/>
          </w:tcPr>
          <w:p w:rsidR="00A02265" w:rsidRPr="005A37E7" w:rsidRDefault="00A02265" w:rsidP="009E5268">
            <w:pPr>
              <w:rPr>
                <w:b/>
              </w:rPr>
            </w:pPr>
          </w:p>
          <w:p w:rsidR="00A02265" w:rsidRPr="005A37E7" w:rsidRDefault="00A02265" w:rsidP="009E5268">
            <w:pPr>
              <w:rPr>
                <w:b/>
              </w:rPr>
            </w:pPr>
            <w:r w:rsidRPr="005A37E7">
              <w:rPr>
                <w:b/>
              </w:rPr>
              <w:t>Autres dispositions</w:t>
            </w:r>
          </w:p>
        </w:tc>
      </w:tr>
      <w:tr w:rsidR="00A02265" w:rsidRPr="005A37E7" w:rsidTr="007B57C0">
        <w:trPr>
          <w:trHeight w:val="70"/>
        </w:trPr>
        <w:tc>
          <w:tcPr>
            <w:tcW w:w="4582" w:type="dxa"/>
          </w:tcPr>
          <w:p w:rsidR="00A02265" w:rsidRPr="005A37E7" w:rsidRDefault="00A02265" w:rsidP="00B223D9">
            <w:pPr>
              <w:rPr>
                <w:b/>
              </w:rPr>
            </w:pPr>
            <w:r w:rsidRPr="005A37E7">
              <w:rPr>
                <w:b/>
              </w:rPr>
              <w:t>Contrôle interne</w:t>
            </w:r>
          </w:p>
        </w:tc>
        <w:tc>
          <w:tcPr>
            <w:tcW w:w="4582" w:type="dxa"/>
          </w:tcPr>
          <w:p w:rsidR="00A02265" w:rsidRPr="005A37E7" w:rsidRDefault="00A02265" w:rsidP="00B223D9">
            <w:r w:rsidRPr="005A37E7">
              <w:t>La Société tiendra une comptabilité analytique suffisamment détaillée pour permettre aux organes compétents de procéder à tout contrôle ou audit demandé par l’une des Parties.</w:t>
            </w:r>
          </w:p>
        </w:tc>
        <w:tc>
          <w:tcPr>
            <w:tcW w:w="4582" w:type="dxa"/>
          </w:tcPr>
          <w:p w:rsidR="00A02265" w:rsidRPr="005A37E7" w:rsidRDefault="00A02265" w:rsidP="00B223D9">
            <w:r w:rsidRPr="005A37E7">
              <w:t>-</w:t>
            </w:r>
          </w:p>
        </w:tc>
      </w:tr>
      <w:tr w:rsidR="00A02265" w:rsidRPr="005A37E7" w:rsidTr="007B57C0">
        <w:trPr>
          <w:trHeight w:val="70"/>
        </w:trPr>
        <w:tc>
          <w:tcPr>
            <w:tcW w:w="4582" w:type="dxa"/>
          </w:tcPr>
          <w:p w:rsidR="00A02265" w:rsidRPr="005A37E7" w:rsidRDefault="00A02265" w:rsidP="00B223D9">
            <w:pPr>
              <w:rPr>
                <w:b/>
              </w:rPr>
            </w:pPr>
            <w:r w:rsidRPr="005A37E7">
              <w:rPr>
                <w:b/>
              </w:rPr>
              <w:t>Contrôle et audit</w:t>
            </w:r>
          </w:p>
        </w:tc>
        <w:tc>
          <w:tcPr>
            <w:tcW w:w="4582" w:type="dxa"/>
          </w:tcPr>
          <w:p w:rsidR="00A02265" w:rsidRPr="005A37E7" w:rsidRDefault="00A02265" w:rsidP="00B223D9">
            <w:r w:rsidRPr="005A37E7">
              <w:t>-</w:t>
            </w:r>
          </w:p>
        </w:tc>
        <w:tc>
          <w:tcPr>
            <w:tcW w:w="4582" w:type="dxa"/>
          </w:tcPr>
          <w:p w:rsidR="00A02265" w:rsidRPr="005A37E7" w:rsidRDefault="00A02265" w:rsidP="009E5268">
            <w:commentRangeStart w:id="44"/>
            <w:r w:rsidRPr="005A37E7">
              <w:t>Possibilité pour UKAD ou l’ADEME d’organiser un audit financier annuel d’Ecotitanium dont la charge financière sera en tout état de cause supportée par Ecotitanium (dans la limite d’un plafond à définir) qui comprendra la possibilité d’auditer :</w:t>
            </w:r>
            <w:commentRangeEnd w:id="44"/>
            <w:r w:rsidR="007B1CC1">
              <w:rPr>
                <w:rStyle w:val="Marquedecommentaire"/>
              </w:rPr>
              <w:commentReference w:id="44"/>
            </w:r>
          </w:p>
          <w:p w:rsidR="00A02265" w:rsidRPr="005A37E7" w:rsidRDefault="00A02265" w:rsidP="009E5268">
            <w:pPr>
              <w:pStyle w:val="Paragraphedeliste"/>
              <w:numPr>
                <w:ilvl w:val="0"/>
                <w:numId w:val="34"/>
              </w:numPr>
              <w:rPr>
                <w:rFonts w:asciiTheme="minorHAnsi" w:eastAsiaTheme="minorHAnsi" w:hAnsiTheme="minorHAnsi" w:cstheme="minorBidi"/>
              </w:rPr>
            </w:pPr>
            <w:r w:rsidRPr="005A37E7">
              <w:rPr>
                <w:rFonts w:asciiTheme="minorHAnsi" w:eastAsiaTheme="minorHAnsi" w:hAnsiTheme="minorHAnsi" w:cstheme="minorBidi"/>
              </w:rPr>
              <w:t xml:space="preserve">les comptes certifiés qui auront été délivrés aux Parties par le Président d’Ecotitanium ou les conseils de celle-ci et les éléments ayant permis </w:t>
            </w:r>
            <w:r w:rsidRPr="005A37E7">
              <w:rPr>
                <w:rFonts w:asciiTheme="minorHAnsi" w:eastAsiaTheme="minorHAnsi" w:hAnsiTheme="minorHAnsi" w:cstheme="minorBidi"/>
              </w:rPr>
              <w:lastRenderedPageBreak/>
              <w:t xml:space="preserve">l’établissement de ces comptes </w:t>
            </w:r>
          </w:p>
          <w:p w:rsidR="00A02265" w:rsidRPr="005A37E7" w:rsidRDefault="00A02265" w:rsidP="009E5268">
            <w:pPr>
              <w:pStyle w:val="Paragraphedeliste"/>
              <w:numPr>
                <w:ilvl w:val="0"/>
                <w:numId w:val="34"/>
              </w:numPr>
              <w:rPr>
                <w:rFonts w:asciiTheme="minorHAnsi" w:eastAsiaTheme="minorHAnsi" w:hAnsiTheme="minorHAnsi" w:cstheme="minorBidi"/>
              </w:rPr>
            </w:pPr>
            <w:r w:rsidRPr="005A37E7">
              <w:rPr>
                <w:rFonts w:asciiTheme="minorHAnsi" w:eastAsiaTheme="minorHAnsi" w:hAnsiTheme="minorHAnsi" w:cstheme="minorBidi"/>
              </w:rPr>
              <w:t xml:space="preserve">tous sujets sur lesquels les </w:t>
            </w:r>
            <w:proofErr w:type="spellStart"/>
            <w:r w:rsidRPr="005A37E7">
              <w:rPr>
                <w:rFonts w:asciiTheme="minorHAnsi" w:eastAsiaTheme="minorHAnsi" w:hAnsiTheme="minorHAnsi" w:cstheme="minorBidi"/>
              </w:rPr>
              <w:t>CACs</w:t>
            </w:r>
            <w:proofErr w:type="spellEnd"/>
            <w:r w:rsidRPr="005A37E7">
              <w:rPr>
                <w:rFonts w:asciiTheme="minorHAnsi" w:eastAsiaTheme="minorHAnsi" w:hAnsiTheme="minorHAnsi" w:cstheme="minorBidi"/>
              </w:rPr>
              <w:t xml:space="preserve"> auraient émis des réserves ou adressé des </w:t>
            </w:r>
            <w:proofErr w:type="gramStart"/>
            <w:r w:rsidRPr="005A37E7">
              <w:rPr>
                <w:rFonts w:asciiTheme="minorHAnsi" w:eastAsiaTheme="minorHAnsi" w:hAnsiTheme="minorHAnsi" w:cstheme="minorBidi"/>
              </w:rPr>
              <w:t>management</w:t>
            </w:r>
            <w:proofErr w:type="gramEnd"/>
            <w:r w:rsidRPr="005A37E7">
              <w:rPr>
                <w:rFonts w:asciiTheme="minorHAnsi" w:eastAsiaTheme="minorHAnsi" w:hAnsiTheme="minorHAnsi" w:cstheme="minorBidi"/>
              </w:rPr>
              <w:t xml:space="preserve"> </w:t>
            </w:r>
            <w:proofErr w:type="spellStart"/>
            <w:r w:rsidRPr="005A37E7">
              <w:rPr>
                <w:rFonts w:asciiTheme="minorHAnsi" w:eastAsiaTheme="minorHAnsi" w:hAnsiTheme="minorHAnsi" w:cstheme="minorBidi"/>
              </w:rPr>
              <w:t>letters</w:t>
            </w:r>
            <w:proofErr w:type="spellEnd"/>
            <w:r w:rsidRPr="005A37E7">
              <w:rPr>
                <w:rFonts w:asciiTheme="minorHAnsi" w:eastAsiaTheme="minorHAnsi" w:hAnsiTheme="minorHAnsi" w:cstheme="minorBidi"/>
              </w:rPr>
              <w:t>.</w:t>
            </w:r>
          </w:p>
          <w:p w:rsidR="00A02265" w:rsidRPr="005A37E7" w:rsidRDefault="00A02265" w:rsidP="009E5268">
            <w:commentRangeStart w:id="45"/>
            <w:r w:rsidRPr="005A37E7">
              <w:t xml:space="preserve">Le cabinet conseil en charge de l’audit financier </w:t>
            </w:r>
            <w:commentRangeEnd w:id="45"/>
            <w:r w:rsidR="00A8502E">
              <w:rPr>
                <w:rStyle w:val="Marquedecommentaire"/>
              </w:rPr>
              <w:commentReference w:id="45"/>
            </w:r>
            <w:r w:rsidRPr="005A37E7">
              <w:t>d’</w:t>
            </w:r>
            <w:proofErr w:type="spellStart"/>
            <w:r w:rsidRPr="005A37E7">
              <w:t>Ecotitanium</w:t>
            </w:r>
            <w:proofErr w:type="spellEnd"/>
            <w:r w:rsidRPr="005A37E7">
              <w:t xml:space="preserve"> sera sélectionné parmi une liste de cabinets de grande notoriété indépendants du groupe  </w:t>
            </w:r>
            <w:proofErr w:type="spellStart"/>
            <w:r w:rsidRPr="005A37E7">
              <w:t>Eramet</w:t>
            </w:r>
            <w:proofErr w:type="spellEnd"/>
            <w:r w:rsidRPr="005A37E7">
              <w:t xml:space="preserve"> et de la société UKAD et qui sera arrêtée d’un commun accord dans le Pacte d’Actionnaires.</w:t>
            </w:r>
          </w:p>
          <w:p w:rsidR="00A02265" w:rsidRPr="005A37E7" w:rsidRDefault="00A02265" w:rsidP="009E5268">
            <w:commentRangeStart w:id="46"/>
            <w:r w:rsidRPr="005A37E7">
              <w:t>Possibilité pour les Investisseurs Financiers d’organiser un audit industriel complémentaire sur les activités d’Ecotitanium en cas de dépassement de 30% des coûts initialement prévus dans le BP. Ecotitanium en supportera la charge financière.</w:t>
            </w:r>
            <w:commentRangeEnd w:id="46"/>
            <w:r w:rsidR="00A8502E">
              <w:rPr>
                <w:rStyle w:val="Marquedecommentaire"/>
              </w:rPr>
              <w:commentReference w:id="46"/>
            </w:r>
          </w:p>
          <w:p w:rsidR="00A02265" w:rsidRPr="005A37E7" w:rsidRDefault="00A02265" w:rsidP="009E5268">
            <w:r w:rsidRPr="005A37E7">
              <w:t>Les modalités de l’audit industriel complémentaire, qui devront en garantir la neutralité  et la complétude, seront définies dans le Pacte d’Actionnaires.</w:t>
            </w:r>
          </w:p>
        </w:tc>
      </w:tr>
      <w:tr w:rsidR="00A02265" w:rsidRPr="005A37E7" w:rsidTr="007B57C0">
        <w:trPr>
          <w:trHeight w:val="70"/>
        </w:trPr>
        <w:tc>
          <w:tcPr>
            <w:tcW w:w="4582" w:type="dxa"/>
            <w:vMerge w:val="restart"/>
          </w:tcPr>
          <w:p w:rsidR="00A02265" w:rsidRPr="005A37E7" w:rsidRDefault="00A02265" w:rsidP="00B223D9">
            <w:pPr>
              <w:rPr>
                <w:b/>
              </w:rPr>
            </w:pPr>
            <w:r w:rsidRPr="005A37E7">
              <w:rPr>
                <w:b/>
              </w:rPr>
              <w:lastRenderedPageBreak/>
              <w:t xml:space="preserve">Confidentialité </w:t>
            </w:r>
          </w:p>
        </w:tc>
        <w:tc>
          <w:tcPr>
            <w:tcW w:w="4582" w:type="dxa"/>
          </w:tcPr>
          <w:p w:rsidR="00A02265" w:rsidRPr="005A37E7" w:rsidRDefault="00A02265" w:rsidP="0023773D">
            <w:r w:rsidRPr="005A37E7">
              <w:t xml:space="preserve">Les soussignés s’interdisent expressément de divulguer, en toutes circonstances sauf en cas de litige entre elles et pour les stricts besoins de la procédure, le pacte d'associés ou l’une quelconque de ses Annexes à tous Tiers, à la seule exception de leurs conseils respectifs et de </w:t>
            </w:r>
            <w:r w:rsidRPr="005A37E7">
              <w:lastRenderedPageBreak/>
              <w:t xml:space="preserve">toutes autorités habilitées à en exiger la communication conformément à la loi, notamment pour le contrôle de leurs comptes ou en cas d’enquêtes administratives ou judiciaires. </w:t>
            </w:r>
          </w:p>
          <w:p w:rsidR="00A02265" w:rsidRPr="005A37E7" w:rsidRDefault="00A02265" w:rsidP="0023773D">
            <w:r w:rsidRPr="005A37E7">
              <w:t>Dans ce cas, la Partie affectée s’engage à prévenir les autres Parties de la nature et du calendrier de la procédure en cours afin de permettre à l’autre Partie de prendre d’éventuelles dispositions pour protéger les informations confidentielles la concernant.</w:t>
            </w:r>
          </w:p>
        </w:tc>
        <w:tc>
          <w:tcPr>
            <w:tcW w:w="4582" w:type="dxa"/>
          </w:tcPr>
          <w:p w:rsidR="00A02265" w:rsidRPr="005A37E7" w:rsidRDefault="00A02265" w:rsidP="0023773D">
            <w:r w:rsidRPr="005A37E7">
              <w:lastRenderedPageBreak/>
              <w:t xml:space="preserve">Nous devons préciser la notion d’ « Autorités Habilitées » pour l’ADEME qui comprend notamment ses autorités de tutelle, les services du Président de la République, Premier Ministre, et </w:t>
            </w:r>
            <w:commentRangeStart w:id="47"/>
            <w:r w:rsidRPr="005A37E7">
              <w:t>des  Parlements</w:t>
            </w:r>
            <w:commentRangeEnd w:id="47"/>
            <w:r w:rsidR="00BC07AF">
              <w:rPr>
                <w:rStyle w:val="Marquedecommentaire"/>
              </w:rPr>
              <w:commentReference w:id="47"/>
            </w:r>
            <w:r w:rsidRPr="005A37E7">
              <w:t xml:space="preserve">, ainsi qu’à ses organes sociaux de direction, de surveillance ou de </w:t>
            </w:r>
            <w:r w:rsidRPr="005A37E7">
              <w:lastRenderedPageBreak/>
              <w:t>contrôle (cours des compte, Contrôleur d’Etat,…), sous réserve qu’elle en informe préalablement les autres parties.</w:t>
            </w:r>
          </w:p>
          <w:p w:rsidR="00A02265" w:rsidRPr="005A37E7" w:rsidRDefault="00A02265" w:rsidP="0023773D"/>
        </w:tc>
      </w:tr>
      <w:tr w:rsidR="00A02265" w:rsidRPr="005A37E7" w:rsidTr="007B57C0">
        <w:trPr>
          <w:trHeight w:val="70"/>
        </w:trPr>
        <w:tc>
          <w:tcPr>
            <w:tcW w:w="4582" w:type="dxa"/>
            <w:vMerge/>
          </w:tcPr>
          <w:p w:rsidR="00A02265" w:rsidRPr="005A37E7" w:rsidRDefault="00A02265" w:rsidP="00B223D9">
            <w:pPr>
              <w:rPr>
                <w:b/>
              </w:rPr>
            </w:pPr>
          </w:p>
        </w:tc>
        <w:tc>
          <w:tcPr>
            <w:tcW w:w="4582" w:type="dxa"/>
          </w:tcPr>
          <w:p w:rsidR="00A02265" w:rsidRPr="005A37E7" w:rsidRDefault="00A02265" w:rsidP="0023773D">
            <w:r w:rsidRPr="005A37E7">
              <w:t>Cette clause survit pendant une durée de 5 années à l'expiration ou la résiliation du pacte d'associés.</w:t>
            </w:r>
          </w:p>
        </w:tc>
        <w:tc>
          <w:tcPr>
            <w:tcW w:w="4582" w:type="dxa"/>
          </w:tcPr>
          <w:p w:rsidR="00A02265" w:rsidRPr="005A37E7" w:rsidRDefault="00A02265" w:rsidP="0023773D">
            <w:r w:rsidRPr="005A37E7">
              <w:t>Limitation de la durée à 3 ans</w:t>
            </w:r>
          </w:p>
        </w:tc>
      </w:tr>
      <w:tr w:rsidR="00A02265" w:rsidRPr="005A37E7" w:rsidTr="007B57C0">
        <w:trPr>
          <w:trHeight w:val="70"/>
        </w:trPr>
        <w:tc>
          <w:tcPr>
            <w:tcW w:w="4582" w:type="dxa"/>
          </w:tcPr>
          <w:p w:rsidR="00A02265" w:rsidRPr="005A37E7" w:rsidRDefault="00A02265" w:rsidP="00B223D9">
            <w:pPr>
              <w:rPr>
                <w:b/>
              </w:rPr>
            </w:pPr>
            <w:r w:rsidRPr="005A37E7">
              <w:rPr>
                <w:b/>
              </w:rPr>
              <w:t xml:space="preserve">Communication </w:t>
            </w:r>
          </w:p>
        </w:tc>
        <w:tc>
          <w:tcPr>
            <w:tcW w:w="4582" w:type="dxa"/>
          </w:tcPr>
          <w:p w:rsidR="00A02265" w:rsidRPr="005A37E7" w:rsidRDefault="00A02265" w:rsidP="00B223D9"/>
        </w:tc>
        <w:tc>
          <w:tcPr>
            <w:tcW w:w="4582" w:type="dxa"/>
          </w:tcPr>
          <w:p w:rsidR="00A02265" w:rsidRPr="005A37E7" w:rsidRDefault="00A02265" w:rsidP="00B94F54">
            <w:commentRangeStart w:id="48"/>
            <w:r w:rsidRPr="005A37E7">
              <w:t xml:space="preserve">Les Parties détermineront les principes et les modalités applicables à toutes  communications qu’elles seront autorisées à effectuer concernant l’existence et/ou la structuration du Projet Ecotitanium, étant précisé que toute communication dérogeant à de tels principes et/ou modalités devra recueillir l’accord préalable de l’ensemble des </w:t>
            </w:r>
            <w:r>
              <w:t>P</w:t>
            </w:r>
            <w:r w:rsidRPr="005A37E7">
              <w:t>arties</w:t>
            </w:r>
            <w:r>
              <w:t>.</w:t>
            </w:r>
            <w:commentRangeEnd w:id="48"/>
            <w:r w:rsidR="00755F32">
              <w:rPr>
                <w:rStyle w:val="Marquedecommentaire"/>
              </w:rPr>
              <w:commentReference w:id="48"/>
            </w:r>
          </w:p>
        </w:tc>
      </w:tr>
      <w:tr w:rsidR="00A02265" w:rsidRPr="005A37E7" w:rsidTr="007B57C0">
        <w:trPr>
          <w:trHeight w:val="70"/>
        </w:trPr>
        <w:tc>
          <w:tcPr>
            <w:tcW w:w="4582" w:type="dxa"/>
          </w:tcPr>
          <w:p w:rsidR="00A02265" w:rsidRPr="005A37E7" w:rsidRDefault="00A02265" w:rsidP="00B223D9">
            <w:pPr>
              <w:rPr>
                <w:b/>
              </w:rPr>
            </w:pPr>
            <w:r w:rsidRPr="005A37E7">
              <w:rPr>
                <w:b/>
              </w:rPr>
              <w:t>Propriété intellectuelle</w:t>
            </w:r>
          </w:p>
        </w:tc>
        <w:tc>
          <w:tcPr>
            <w:tcW w:w="4582" w:type="dxa"/>
          </w:tcPr>
          <w:p w:rsidR="00A02265" w:rsidRPr="005A37E7" w:rsidRDefault="00A02265" w:rsidP="0023773D">
            <w:r w:rsidRPr="005A37E7">
              <w:t>Les Parties restent en toutes circonstances propriétaires exclusifs</w:t>
            </w:r>
            <w:r>
              <w:t xml:space="preserve"> </w:t>
            </w:r>
            <w:r w:rsidRPr="005A37E7">
              <w:t xml:space="preserve">de leurs droits préexistants de propriété industrielle et intellectuelle respectifs, étant entendu qu’ils </w:t>
            </w:r>
            <w:r w:rsidRPr="005A37E7">
              <w:lastRenderedPageBreak/>
              <w:t xml:space="preserve">s’accordent mutuellement en tant que de besoin, ou donneront à la Société : </w:t>
            </w:r>
          </w:p>
          <w:p w:rsidR="00A02265" w:rsidRPr="005A37E7" w:rsidRDefault="00A02265" w:rsidP="0023773D">
            <w:r w:rsidRPr="005A37E7">
              <w:t>- toute licence gratuite et exclusive des droits de propriété intellectuelle créés dans le cadre des études et éventuels travaux de recherche réalisés spécifiquement pour le développement de la Société et la réalisation de l’objet social de la Société,</w:t>
            </w:r>
          </w:p>
          <w:p w:rsidR="00A02265" w:rsidRPr="005A37E7" w:rsidRDefault="00A02265" w:rsidP="0023773D">
            <w:r w:rsidRPr="005A37E7">
              <w:t>- toute licence gratuite et non-exclusive, de leurs droits de propriété intellectuelle et industrielle préexistants et dans la stricte mesure où une telle licence est nécessaire développement de la Société et la réalisation de l’objet social de la Société.</w:t>
            </w:r>
          </w:p>
        </w:tc>
        <w:tc>
          <w:tcPr>
            <w:tcW w:w="4582" w:type="dxa"/>
          </w:tcPr>
          <w:p w:rsidR="00A02265" w:rsidRPr="005A37E7" w:rsidRDefault="00A02265" w:rsidP="0023773D">
            <w:r w:rsidRPr="005A37E7">
              <w:lastRenderedPageBreak/>
              <w:t>Quels seront les accords de propriété intellectuelle entre Ecotitanium d’une part et UKTMP / A&amp;D d’autre part ?</w:t>
            </w:r>
          </w:p>
          <w:p w:rsidR="00A02265" w:rsidRPr="005A37E7" w:rsidRDefault="00A02265" w:rsidP="0023773D">
            <w:commentRangeStart w:id="49"/>
            <w:r w:rsidRPr="005A37E7">
              <w:lastRenderedPageBreak/>
              <w:t>A préciser :</w:t>
            </w:r>
          </w:p>
          <w:p w:rsidR="00A02265" w:rsidRPr="005A37E7" w:rsidRDefault="00A02265" w:rsidP="0023773D">
            <w:pPr>
              <w:pStyle w:val="Paragraphedeliste"/>
              <w:numPr>
                <w:ilvl w:val="0"/>
                <w:numId w:val="35"/>
              </w:numPr>
              <w:jc w:val="left"/>
              <w:rPr>
                <w:rFonts w:asciiTheme="minorHAnsi" w:eastAsiaTheme="minorHAnsi" w:hAnsiTheme="minorHAnsi" w:cstheme="minorBidi"/>
              </w:rPr>
            </w:pPr>
            <w:r w:rsidRPr="005A37E7">
              <w:rPr>
                <w:rFonts w:asciiTheme="minorHAnsi" w:eastAsiaTheme="minorHAnsi" w:hAnsiTheme="minorHAnsi" w:cstheme="minorBidi"/>
              </w:rPr>
              <w:t>les droits préexistants pourront rester la propriété exclusive d’UKAD</w:t>
            </w:r>
          </w:p>
          <w:p w:rsidR="00A02265" w:rsidRPr="005A37E7" w:rsidRDefault="00A02265" w:rsidP="0023773D">
            <w:pPr>
              <w:pStyle w:val="Paragraphedeliste"/>
              <w:numPr>
                <w:ilvl w:val="0"/>
                <w:numId w:val="35"/>
              </w:numPr>
              <w:jc w:val="left"/>
              <w:rPr>
                <w:rFonts w:asciiTheme="minorHAnsi" w:eastAsiaTheme="minorHAnsi" w:hAnsiTheme="minorHAnsi" w:cstheme="minorBidi"/>
              </w:rPr>
            </w:pPr>
            <w:r w:rsidRPr="005A37E7">
              <w:rPr>
                <w:rFonts w:asciiTheme="minorHAnsi" w:eastAsiaTheme="minorHAnsi" w:hAnsiTheme="minorHAnsi" w:cstheme="minorBidi"/>
              </w:rPr>
              <w:t xml:space="preserve">la propriété de tous les nouveaux droits développés </w:t>
            </w:r>
            <w:r w:rsidR="00C80627">
              <w:rPr>
                <w:rFonts w:asciiTheme="minorHAnsi" w:eastAsiaTheme="minorHAnsi" w:hAnsiTheme="minorHAnsi" w:cstheme="minorBidi"/>
              </w:rPr>
              <w:t xml:space="preserve">postérieurs à l’investissement </w:t>
            </w:r>
            <w:r w:rsidRPr="005A37E7">
              <w:rPr>
                <w:rFonts w:asciiTheme="minorHAnsi" w:eastAsiaTheme="minorHAnsi" w:hAnsiTheme="minorHAnsi" w:cstheme="minorBidi"/>
              </w:rPr>
              <w:t xml:space="preserve">devra être transmise à </w:t>
            </w:r>
            <w:proofErr w:type="spellStart"/>
            <w:r w:rsidRPr="005A37E7">
              <w:rPr>
                <w:rFonts w:asciiTheme="minorHAnsi" w:eastAsiaTheme="minorHAnsi" w:hAnsiTheme="minorHAnsi" w:cstheme="minorBidi"/>
              </w:rPr>
              <w:t>Ecotitanium</w:t>
            </w:r>
            <w:commentRangeEnd w:id="49"/>
            <w:proofErr w:type="spellEnd"/>
            <w:r w:rsidR="002C0212">
              <w:rPr>
                <w:rStyle w:val="Marquedecommentaire"/>
                <w:rFonts w:asciiTheme="minorHAnsi" w:eastAsiaTheme="minorHAnsi" w:hAnsiTheme="minorHAnsi" w:cstheme="minorBidi"/>
              </w:rPr>
              <w:commentReference w:id="49"/>
            </w:r>
          </w:p>
        </w:tc>
      </w:tr>
      <w:tr w:rsidR="00A02265" w:rsidRPr="005A37E7" w:rsidTr="007B57C0">
        <w:trPr>
          <w:trHeight w:val="70"/>
        </w:trPr>
        <w:tc>
          <w:tcPr>
            <w:tcW w:w="4582" w:type="dxa"/>
          </w:tcPr>
          <w:p w:rsidR="00A02265" w:rsidRPr="005A37E7" w:rsidRDefault="00A02265" w:rsidP="00B223D9">
            <w:pPr>
              <w:rPr>
                <w:b/>
              </w:rPr>
            </w:pPr>
            <w:r w:rsidRPr="005A37E7">
              <w:rPr>
                <w:b/>
              </w:rPr>
              <w:lastRenderedPageBreak/>
              <w:t>Règlements des litiges</w:t>
            </w:r>
          </w:p>
        </w:tc>
        <w:tc>
          <w:tcPr>
            <w:tcW w:w="4582" w:type="dxa"/>
          </w:tcPr>
          <w:p w:rsidR="00A02265" w:rsidRPr="005A37E7" w:rsidRDefault="00A02265" w:rsidP="002B4E94">
            <w:pPr>
              <w:spacing w:beforeLines="60" w:before="144" w:after="0"/>
            </w:pPr>
            <w:r w:rsidRPr="005A37E7">
              <w:t>En cas de litige ou toute situation de désaccord ou d’absence d’accord qui entrave la prise de décision nécessaire d’un organe de la Société pendant une période de plus de 30 jours et dans des conditions affectant le bon fonctionnement de la Société ou le déroulement de ses activités la Partie la plus diligente saisi par lettre recommandée avec demande d'avis de réception les directions générales des deux parties (les "Présidents").</w:t>
            </w:r>
          </w:p>
          <w:p w:rsidR="00A02265" w:rsidRPr="005A37E7" w:rsidRDefault="00A02265" w:rsidP="002B4E94">
            <w:pPr>
              <w:spacing w:beforeLines="60" w:before="144" w:after="0"/>
            </w:pPr>
            <w:r w:rsidRPr="005A37E7">
              <w:t xml:space="preserve">Les Présidents disposent d’un délai de 30 jours pour trancher la question litigieuse ou constater </w:t>
            </w:r>
            <w:r w:rsidRPr="005A37E7">
              <w:lastRenderedPageBreak/>
              <w:t>l’absence de conciliation.</w:t>
            </w:r>
          </w:p>
          <w:p w:rsidR="00A02265" w:rsidRPr="005A37E7" w:rsidRDefault="00A02265" w:rsidP="002B4E94">
            <w:pPr>
              <w:spacing w:beforeLines="60" w:before="144" w:after="0"/>
            </w:pPr>
            <w:r w:rsidRPr="005A37E7">
              <w:t>En cas d'absence d'accord passé ce délai, la partie la plus diligente peut saisir le Tribunal de Commerce de Paris à qui les Parties confèrent une compétence exclusive au titre des présentes.</w:t>
            </w:r>
          </w:p>
        </w:tc>
        <w:tc>
          <w:tcPr>
            <w:tcW w:w="4582" w:type="dxa"/>
          </w:tcPr>
          <w:p w:rsidR="00A02265" w:rsidRPr="005A37E7" w:rsidRDefault="00A02265" w:rsidP="002B4E94">
            <w:pPr>
              <w:spacing w:beforeLines="60" w:before="144" w:after="0"/>
            </w:pPr>
            <w:commentRangeStart w:id="50"/>
            <w:r w:rsidRPr="005A37E7">
              <w:lastRenderedPageBreak/>
              <w:t>Clause de conciliation à renforcer (à discuter)</w:t>
            </w:r>
            <w:commentRangeEnd w:id="50"/>
            <w:r w:rsidR="00E109E5">
              <w:rPr>
                <w:rStyle w:val="Marquedecommentaire"/>
              </w:rPr>
              <w:commentReference w:id="50"/>
            </w:r>
          </w:p>
        </w:tc>
      </w:tr>
      <w:tr w:rsidR="00A02265" w:rsidRPr="005A37E7" w:rsidTr="007B57C0">
        <w:trPr>
          <w:trHeight w:val="70"/>
        </w:trPr>
        <w:tc>
          <w:tcPr>
            <w:tcW w:w="4582" w:type="dxa"/>
          </w:tcPr>
          <w:p w:rsidR="00A02265" w:rsidRPr="005A37E7" w:rsidRDefault="00A02265" w:rsidP="00B223D9">
            <w:pPr>
              <w:rPr>
                <w:b/>
              </w:rPr>
            </w:pPr>
            <w:r w:rsidRPr="005A37E7">
              <w:rPr>
                <w:b/>
              </w:rPr>
              <w:lastRenderedPageBreak/>
              <w:t>Dividendes / réserves</w:t>
            </w:r>
          </w:p>
        </w:tc>
        <w:tc>
          <w:tcPr>
            <w:tcW w:w="4582" w:type="dxa"/>
          </w:tcPr>
          <w:p w:rsidR="00A02265" w:rsidRPr="005A37E7" w:rsidRDefault="00A02265" w:rsidP="002B4E94">
            <w:pPr>
              <w:spacing w:beforeLines="60" w:before="144" w:after="0"/>
            </w:pPr>
            <w:r w:rsidRPr="005A37E7">
              <w:t>Pas de versement de dividendes jusqu’en 2021.</w:t>
            </w:r>
          </w:p>
        </w:tc>
        <w:tc>
          <w:tcPr>
            <w:tcW w:w="4582" w:type="dxa"/>
          </w:tcPr>
          <w:p w:rsidR="00A02265" w:rsidRDefault="00A02265" w:rsidP="002B4E94">
            <w:pPr>
              <w:spacing w:beforeLines="60" w:before="144" w:after="0"/>
            </w:pPr>
            <w:commentRangeStart w:id="51"/>
            <w:r w:rsidRPr="005A37E7">
              <w:t>A discuter (à partir du remboursement des dettes ?)</w:t>
            </w:r>
            <w:commentRangeEnd w:id="51"/>
            <w:r w:rsidR="0028062B">
              <w:rPr>
                <w:rStyle w:val="Marquedecommentaire"/>
              </w:rPr>
              <w:commentReference w:id="51"/>
            </w:r>
          </w:p>
          <w:p w:rsidR="00A02265" w:rsidRPr="005A37E7" w:rsidRDefault="00A02265" w:rsidP="002B4E94">
            <w:pPr>
              <w:spacing w:beforeLines="60" w:before="144" w:after="0"/>
            </w:pPr>
          </w:p>
        </w:tc>
      </w:tr>
      <w:tr w:rsidR="00A02265" w:rsidRPr="005A37E7" w:rsidTr="007B57C0">
        <w:trPr>
          <w:trHeight w:val="70"/>
        </w:trPr>
        <w:tc>
          <w:tcPr>
            <w:tcW w:w="4582" w:type="dxa"/>
          </w:tcPr>
          <w:p w:rsidR="00A02265" w:rsidRPr="005A37E7" w:rsidRDefault="00A02265" w:rsidP="00B223D9">
            <w:pPr>
              <w:rPr>
                <w:b/>
              </w:rPr>
            </w:pPr>
            <w:r w:rsidRPr="005A37E7">
              <w:rPr>
                <w:b/>
              </w:rPr>
              <w:t>Frais et honoraires</w:t>
            </w:r>
          </w:p>
        </w:tc>
        <w:tc>
          <w:tcPr>
            <w:tcW w:w="4582" w:type="dxa"/>
          </w:tcPr>
          <w:p w:rsidR="00A02265" w:rsidRPr="005A37E7" w:rsidRDefault="00A02265" w:rsidP="002B4E94">
            <w:pPr>
              <w:spacing w:beforeLines="60" w:before="144" w:after="0"/>
            </w:pPr>
            <w:r w:rsidRPr="005A37E7">
              <w:t>-</w:t>
            </w:r>
          </w:p>
        </w:tc>
        <w:tc>
          <w:tcPr>
            <w:tcW w:w="4582" w:type="dxa"/>
          </w:tcPr>
          <w:p w:rsidR="00A02265" w:rsidRDefault="00A02265" w:rsidP="002B4E94">
            <w:pPr>
              <w:spacing w:beforeLines="60" w:before="144" w:after="0"/>
            </w:pPr>
            <w:r w:rsidRPr="005A37E7">
              <w:t>UKAD, le Crédit Agricole Centre France et l’ADEME supporteront chacun la charge exclusive des coûts, frais et honoraires qu’ils ont exposés dans le cadre du Projet Ecotitanium.</w:t>
            </w:r>
          </w:p>
          <w:p w:rsidR="00A02265" w:rsidRPr="005A37E7" w:rsidRDefault="00A02265" w:rsidP="002B4E94">
            <w:pPr>
              <w:spacing w:beforeLines="60" w:before="144" w:after="0"/>
            </w:pPr>
          </w:p>
        </w:tc>
      </w:tr>
      <w:tr w:rsidR="00A02265" w:rsidRPr="005A37E7" w:rsidTr="007B57C0">
        <w:trPr>
          <w:trHeight w:val="70"/>
        </w:trPr>
        <w:tc>
          <w:tcPr>
            <w:tcW w:w="4582" w:type="dxa"/>
          </w:tcPr>
          <w:p w:rsidR="00A02265" w:rsidRPr="005A37E7" w:rsidRDefault="00A02265" w:rsidP="00B223D9">
            <w:pPr>
              <w:rPr>
                <w:b/>
              </w:rPr>
            </w:pPr>
            <w:r w:rsidRPr="005A37E7">
              <w:rPr>
                <w:b/>
              </w:rPr>
              <w:t>Durée du pacte</w:t>
            </w:r>
          </w:p>
        </w:tc>
        <w:tc>
          <w:tcPr>
            <w:tcW w:w="4582" w:type="dxa"/>
          </w:tcPr>
          <w:p w:rsidR="00A02265" w:rsidRPr="005A37E7" w:rsidRDefault="00A02265" w:rsidP="002B4E94">
            <w:pPr>
              <w:spacing w:beforeLines="60" w:before="144" w:after="0"/>
            </w:pPr>
            <w:r w:rsidRPr="005A37E7">
              <w:t>-</w:t>
            </w:r>
          </w:p>
        </w:tc>
        <w:tc>
          <w:tcPr>
            <w:tcW w:w="4582" w:type="dxa"/>
          </w:tcPr>
          <w:p w:rsidR="00A02265" w:rsidRPr="005A37E7" w:rsidRDefault="00A02265" w:rsidP="002B4E94">
            <w:pPr>
              <w:spacing w:beforeLines="60" w:before="144" w:after="0"/>
            </w:pPr>
            <w:commentRangeStart w:id="52"/>
            <w:r w:rsidRPr="005A37E7">
              <w:t>20 ans (à discuter)</w:t>
            </w:r>
            <w:commentRangeEnd w:id="52"/>
            <w:r w:rsidR="0028062B">
              <w:rPr>
                <w:rStyle w:val="Marquedecommentaire"/>
              </w:rPr>
              <w:commentReference w:id="52"/>
            </w:r>
          </w:p>
        </w:tc>
      </w:tr>
      <w:tr w:rsidR="00A02265" w:rsidRPr="005A37E7" w:rsidTr="007B57C0">
        <w:trPr>
          <w:trHeight w:val="70"/>
        </w:trPr>
        <w:tc>
          <w:tcPr>
            <w:tcW w:w="4582" w:type="dxa"/>
          </w:tcPr>
          <w:p w:rsidR="00A02265" w:rsidRPr="005A37E7" w:rsidRDefault="00A02265" w:rsidP="00B223D9">
            <w:pPr>
              <w:rPr>
                <w:b/>
              </w:rPr>
            </w:pPr>
            <w:r w:rsidRPr="005A37E7">
              <w:rPr>
                <w:b/>
              </w:rPr>
              <w:t xml:space="preserve">Certification des documents sociaux </w:t>
            </w:r>
          </w:p>
        </w:tc>
        <w:tc>
          <w:tcPr>
            <w:tcW w:w="4582" w:type="dxa"/>
          </w:tcPr>
          <w:p w:rsidR="00A02265" w:rsidRPr="005A37E7" w:rsidRDefault="00A02265" w:rsidP="002B4E94">
            <w:pPr>
              <w:spacing w:beforeLines="60" w:before="144" w:after="0"/>
            </w:pPr>
            <w:r w:rsidRPr="005A37E7">
              <w:t>Réalisée par le Président.</w:t>
            </w:r>
          </w:p>
        </w:tc>
        <w:tc>
          <w:tcPr>
            <w:tcW w:w="4582" w:type="dxa"/>
          </w:tcPr>
          <w:p w:rsidR="00A02265" w:rsidRPr="005A37E7" w:rsidRDefault="00A02265" w:rsidP="002B4E94">
            <w:pPr>
              <w:spacing w:beforeLines="60" w:before="144" w:after="0"/>
            </w:pPr>
            <w:r w:rsidRPr="005A37E7">
              <w:t>-</w:t>
            </w:r>
          </w:p>
        </w:tc>
      </w:tr>
      <w:tr w:rsidR="00A02265" w:rsidRPr="005A37E7" w:rsidTr="007B57C0">
        <w:trPr>
          <w:trHeight w:val="70"/>
        </w:trPr>
        <w:tc>
          <w:tcPr>
            <w:tcW w:w="4582" w:type="dxa"/>
          </w:tcPr>
          <w:p w:rsidR="00A02265" w:rsidRPr="005A37E7" w:rsidRDefault="00A02265" w:rsidP="00B223D9">
            <w:pPr>
              <w:rPr>
                <w:b/>
              </w:rPr>
            </w:pPr>
            <w:r w:rsidRPr="005A37E7">
              <w:rPr>
                <w:b/>
              </w:rPr>
              <w:t>Liquidation / Dissolution</w:t>
            </w:r>
          </w:p>
        </w:tc>
        <w:tc>
          <w:tcPr>
            <w:tcW w:w="4582" w:type="dxa"/>
          </w:tcPr>
          <w:p w:rsidR="00A02265" w:rsidRPr="005A37E7" w:rsidRDefault="00A02265" w:rsidP="002B4E94">
            <w:pPr>
              <w:spacing w:beforeLines="60" w:before="144" w:after="0"/>
            </w:pPr>
            <w:r w:rsidRPr="005A37E7">
              <w:t>Droit commun. Causes supplémentaires à discuter éventuellement.</w:t>
            </w:r>
          </w:p>
        </w:tc>
        <w:tc>
          <w:tcPr>
            <w:tcW w:w="4582" w:type="dxa"/>
          </w:tcPr>
          <w:p w:rsidR="00A02265" w:rsidRPr="005A37E7" w:rsidRDefault="00A02265" w:rsidP="002B4E94">
            <w:pPr>
              <w:spacing w:beforeLines="60" w:before="144" w:after="0"/>
            </w:pPr>
            <w:r w:rsidRPr="005A37E7">
              <w:t>A discuter</w:t>
            </w:r>
          </w:p>
        </w:tc>
      </w:tr>
      <w:tr w:rsidR="00A02265" w:rsidRPr="005A37E7" w:rsidTr="007B57C0">
        <w:trPr>
          <w:trHeight w:val="70"/>
        </w:trPr>
        <w:tc>
          <w:tcPr>
            <w:tcW w:w="4582" w:type="dxa"/>
          </w:tcPr>
          <w:p w:rsidR="00A02265" w:rsidRPr="005A37E7" w:rsidRDefault="00A02265" w:rsidP="00B223D9">
            <w:pPr>
              <w:rPr>
                <w:b/>
              </w:rPr>
            </w:pPr>
            <w:r w:rsidRPr="005A37E7">
              <w:rPr>
                <w:b/>
              </w:rPr>
              <w:t>Liquidation volontaire</w:t>
            </w:r>
          </w:p>
        </w:tc>
        <w:tc>
          <w:tcPr>
            <w:tcW w:w="4582" w:type="dxa"/>
          </w:tcPr>
          <w:p w:rsidR="00A02265" w:rsidRPr="005A37E7" w:rsidRDefault="00A02265" w:rsidP="002B4E94">
            <w:pPr>
              <w:spacing w:beforeLines="60" w:before="144" w:after="0"/>
            </w:pPr>
            <w:r w:rsidRPr="005A37E7">
              <w:t>Sur décision unanime des associés.</w:t>
            </w:r>
          </w:p>
        </w:tc>
        <w:tc>
          <w:tcPr>
            <w:tcW w:w="4582" w:type="dxa"/>
          </w:tcPr>
          <w:p w:rsidR="00A02265" w:rsidRPr="005A37E7" w:rsidRDefault="00A02265" w:rsidP="002B4E94">
            <w:pPr>
              <w:spacing w:beforeLines="60" w:before="144" w:after="0"/>
            </w:pPr>
            <w:r w:rsidRPr="005A37E7">
              <w:t>-</w:t>
            </w:r>
          </w:p>
        </w:tc>
      </w:tr>
      <w:tr w:rsidR="00A02265" w:rsidRPr="005A37E7" w:rsidTr="007B57C0">
        <w:trPr>
          <w:trHeight w:val="70"/>
        </w:trPr>
        <w:tc>
          <w:tcPr>
            <w:tcW w:w="4582" w:type="dxa"/>
          </w:tcPr>
          <w:p w:rsidR="00A02265" w:rsidRPr="005A37E7" w:rsidRDefault="00A02265" w:rsidP="00B223D9">
            <w:pPr>
              <w:rPr>
                <w:b/>
              </w:rPr>
            </w:pPr>
            <w:r w:rsidRPr="005A37E7">
              <w:rPr>
                <w:b/>
              </w:rPr>
              <w:t>Droit applicable</w:t>
            </w:r>
          </w:p>
        </w:tc>
        <w:tc>
          <w:tcPr>
            <w:tcW w:w="4582" w:type="dxa"/>
          </w:tcPr>
          <w:p w:rsidR="00A02265" w:rsidRPr="005A37E7" w:rsidRDefault="00A02265" w:rsidP="002B4E94">
            <w:pPr>
              <w:spacing w:beforeLines="60" w:before="144" w:after="0"/>
            </w:pPr>
            <w:r w:rsidRPr="005A37E7">
              <w:t>France</w:t>
            </w:r>
          </w:p>
        </w:tc>
        <w:tc>
          <w:tcPr>
            <w:tcW w:w="4582" w:type="dxa"/>
          </w:tcPr>
          <w:p w:rsidR="00A02265" w:rsidRPr="005A37E7" w:rsidRDefault="00A02265" w:rsidP="002B4E94">
            <w:pPr>
              <w:spacing w:beforeLines="60" w:before="144" w:after="0"/>
              <w:rPr>
                <w:rFonts w:ascii="Arial" w:hAnsi="Arial" w:cs="Arial"/>
              </w:rPr>
            </w:pPr>
            <w:r w:rsidRPr="005A37E7">
              <w:rPr>
                <w:rFonts w:ascii="Arial" w:hAnsi="Arial" w:cs="Arial"/>
              </w:rPr>
              <w:t>-</w:t>
            </w:r>
          </w:p>
        </w:tc>
      </w:tr>
    </w:tbl>
    <w:p w:rsidR="0023773D" w:rsidRPr="005A37E7" w:rsidRDefault="0023773D" w:rsidP="00B223D9"/>
    <w:p w:rsidR="0023773D" w:rsidRPr="005A37E7" w:rsidRDefault="0023773D">
      <w:pPr>
        <w:spacing w:after="200"/>
      </w:pPr>
      <w:r w:rsidRPr="005A37E7">
        <w:br w:type="page"/>
      </w:r>
    </w:p>
    <w:p w:rsidR="00DC3491" w:rsidRDefault="0023773D" w:rsidP="005A37E7">
      <w:pPr>
        <w:jc w:val="center"/>
        <w:rPr>
          <w:b/>
          <w:u w:val="single"/>
        </w:rPr>
      </w:pPr>
      <w:r w:rsidRPr="005A37E7">
        <w:rPr>
          <w:b/>
          <w:u w:val="single"/>
        </w:rPr>
        <w:lastRenderedPageBreak/>
        <w:t>Annexe 1 :</w:t>
      </w:r>
      <w:r w:rsidR="005A37E7">
        <w:rPr>
          <w:b/>
          <w:u w:val="single"/>
        </w:rPr>
        <w:t xml:space="preserve"> D</w:t>
      </w:r>
      <w:r w:rsidRPr="005A37E7">
        <w:rPr>
          <w:b/>
          <w:u w:val="single"/>
        </w:rPr>
        <w:t>étermination du Prix Conventionnel</w:t>
      </w:r>
    </w:p>
    <w:p w:rsidR="005A37E7" w:rsidRPr="005A37E7" w:rsidRDefault="005A37E7" w:rsidP="005A37E7">
      <w:pPr>
        <w:jc w:val="center"/>
        <w:rPr>
          <w:b/>
          <w:u w:val="single"/>
        </w:rPr>
      </w:pPr>
    </w:p>
    <w:tbl>
      <w:tblPr>
        <w:tblStyle w:val="Grilledutableau"/>
        <w:tblW w:w="0" w:type="auto"/>
        <w:tblLook w:val="04A0" w:firstRow="1" w:lastRow="0" w:firstColumn="1" w:lastColumn="0" w:noHBand="0" w:noVBand="1"/>
      </w:tblPr>
      <w:tblGrid>
        <w:gridCol w:w="2235"/>
        <w:gridCol w:w="3969"/>
        <w:gridCol w:w="7542"/>
      </w:tblGrid>
      <w:tr w:rsidR="0023773D" w:rsidRPr="005A37E7" w:rsidTr="005A37E7">
        <w:tc>
          <w:tcPr>
            <w:tcW w:w="2235" w:type="dxa"/>
            <w:shd w:val="clear" w:color="auto" w:fill="8DB3E2" w:themeFill="text2" w:themeFillTint="66"/>
          </w:tcPr>
          <w:p w:rsidR="0023773D" w:rsidRPr="005A37E7" w:rsidRDefault="0023773D" w:rsidP="00B223D9">
            <w:pPr>
              <w:rPr>
                <w:b/>
              </w:rPr>
            </w:pPr>
          </w:p>
        </w:tc>
        <w:tc>
          <w:tcPr>
            <w:tcW w:w="3969" w:type="dxa"/>
            <w:shd w:val="clear" w:color="auto" w:fill="8DB3E2" w:themeFill="text2" w:themeFillTint="66"/>
          </w:tcPr>
          <w:p w:rsidR="0023773D" w:rsidRPr="005A37E7" w:rsidRDefault="0023773D" w:rsidP="0023773D">
            <w:pPr>
              <w:rPr>
                <w:b/>
              </w:rPr>
            </w:pPr>
            <w:r w:rsidRPr="005A37E7">
              <w:rPr>
                <w:b/>
              </w:rPr>
              <w:t>Proposition Aubert &amp; Duval</w:t>
            </w:r>
          </w:p>
        </w:tc>
        <w:tc>
          <w:tcPr>
            <w:tcW w:w="7542" w:type="dxa"/>
            <w:shd w:val="clear" w:color="auto" w:fill="8DB3E2" w:themeFill="text2" w:themeFillTint="66"/>
          </w:tcPr>
          <w:p w:rsidR="0023773D" w:rsidRPr="005A37E7" w:rsidRDefault="0023773D" w:rsidP="00B223D9">
            <w:pPr>
              <w:rPr>
                <w:b/>
              </w:rPr>
            </w:pPr>
            <w:r w:rsidRPr="005A37E7">
              <w:rPr>
                <w:b/>
              </w:rPr>
              <w:t>Commentaires ADEME</w:t>
            </w:r>
          </w:p>
        </w:tc>
      </w:tr>
      <w:tr w:rsidR="0023773D" w:rsidRPr="005A37E7" w:rsidTr="0023773D">
        <w:tc>
          <w:tcPr>
            <w:tcW w:w="2235" w:type="dxa"/>
          </w:tcPr>
          <w:p w:rsidR="0023773D" w:rsidRPr="005A37E7" w:rsidRDefault="0023773D" w:rsidP="00B223D9">
            <w:pPr>
              <w:rPr>
                <w:b/>
              </w:rPr>
            </w:pPr>
            <w:r w:rsidRPr="005A37E7">
              <w:rPr>
                <w:b/>
              </w:rPr>
              <w:t>Conditions de sortie de l’ADEME et du CA</w:t>
            </w:r>
          </w:p>
        </w:tc>
        <w:tc>
          <w:tcPr>
            <w:tcW w:w="3969" w:type="dxa"/>
          </w:tcPr>
          <w:p w:rsidR="0023773D" w:rsidRPr="005A37E7" w:rsidRDefault="0023773D" w:rsidP="002B4E94">
            <w:pPr>
              <w:spacing w:beforeLines="60" w:before="144" w:after="0"/>
            </w:pPr>
            <w:r w:rsidRPr="005A37E7">
              <w:t>L’ADEME pour la période allant de 2022 à 2024, disposera d’une option (ci-après « l’Option ») pour céder ses parts à UKAD sur la base des principes suivants :</w:t>
            </w:r>
          </w:p>
          <w:p w:rsidR="0023773D" w:rsidRPr="005A37E7" w:rsidRDefault="0023773D" w:rsidP="002B4E94">
            <w:pPr>
              <w:pStyle w:val="Paragraphedeliste"/>
              <w:numPr>
                <w:ilvl w:val="0"/>
                <w:numId w:val="35"/>
              </w:numPr>
              <w:spacing w:beforeLines="60" w:before="144" w:after="0"/>
            </w:pPr>
            <w:r w:rsidRPr="005A37E7">
              <w:t>Si l’activité de la société est nulle, l’ADEME récupère 50% du Montant de sa Participation Initiale, proportionnalité aux tonnes Ecotitanium pour atteindre la mise initiale à 1530 t ;</w:t>
            </w:r>
          </w:p>
          <w:p w:rsidR="0023773D" w:rsidRPr="005A37E7" w:rsidRDefault="0023773D" w:rsidP="002B4E94">
            <w:pPr>
              <w:pStyle w:val="Paragraphedeliste"/>
              <w:numPr>
                <w:ilvl w:val="0"/>
                <w:numId w:val="35"/>
              </w:numPr>
              <w:spacing w:beforeLines="60" w:before="144" w:after="0"/>
            </w:pPr>
            <w:r w:rsidRPr="005A37E7">
              <w:t>Si l’activité d’Ecotitanium atteint le Point Mort, l’ADEME récupère le Montant de sa Participation Initiale ;</w:t>
            </w:r>
          </w:p>
          <w:p w:rsidR="0023773D" w:rsidRPr="005A37E7" w:rsidRDefault="0023773D" w:rsidP="002B4E94">
            <w:pPr>
              <w:pStyle w:val="Paragraphedeliste"/>
              <w:numPr>
                <w:ilvl w:val="0"/>
                <w:numId w:val="35"/>
              </w:numPr>
              <w:spacing w:beforeLines="60" w:before="144" w:after="0"/>
            </w:pPr>
            <w:r w:rsidRPr="005A37E7">
              <w:t xml:space="preserve">Si l’activité d’Ecotitanium est supérieure au Point Mort d’Ecotitanium, l’ADEME est rémunérée au-delà du Montant de sa Participation Initiale, au prorata des tonnes vendues par Ecotitanium (2/3) et UKAD (1/3), et au prorata de la somme des </w:t>
            </w:r>
            <w:proofErr w:type="spellStart"/>
            <w:r w:rsidRPr="005A37E7">
              <w:t>Ebitda</w:t>
            </w:r>
            <w:proofErr w:type="spellEnd"/>
            <w:r w:rsidRPr="005A37E7">
              <w:t xml:space="preserve"> d’UKAD et d’</w:t>
            </w:r>
            <w:proofErr w:type="spellStart"/>
            <w:r w:rsidRPr="005A37E7">
              <w:t>Ecotitanium</w:t>
            </w:r>
            <w:proofErr w:type="spellEnd"/>
            <w:r w:rsidRPr="005A37E7">
              <w:t>;</w:t>
            </w:r>
          </w:p>
          <w:p w:rsidR="0023773D" w:rsidRPr="005A37E7" w:rsidRDefault="0023773D" w:rsidP="002B4E94">
            <w:pPr>
              <w:pStyle w:val="Paragraphedeliste"/>
              <w:numPr>
                <w:ilvl w:val="0"/>
                <w:numId w:val="35"/>
              </w:numPr>
              <w:spacing w:beforeLines="60" w:before="144" w:after="0"/>
            </w:pPr>
            <w:r w:rsidRPr="005A37E7">
              <w:t xml:space="preserve">En aucun cas, l’ADEME pourra demander une valorisation de ses </w:t>
            </w:r>
            <w:r w:rsidRPr="005A37E7">
              <w:lastRenderedPageBreak/>
              <w:t>parts au-delà de 2,5 fois le Montant de sa Participation Initiale ;</w:t>
            </w:r>
          </w:p>
          <w:p w:rsidR="0023773D" w:rsidRPr="005A37E7" w:rsidRDefault="0023773D" w:rsidP="002B4E94">
            <w:pPr>
              <w:spacing w:beforeLines="60" w:before="144" w:after="0"/>
            </w:pPr>
            <w:r w:rsidRPr="005A37E7">
              <w:t>Dans toutes les hypothèses précédemment décrites, l’ADEME devra notifier sa décision à UKAD moyennant l’envoi d’une notification 60 jours avant la date effective de l’exercice de l’Option.</w:t>
            </w:r>
          </w:p>
          <w:p w:rsidR="0023773D" w:rsidRPr="005A37E7" w:rsidRDefault="0023773D" w:rsidP="002B4E94">
            <w:pPr>
              <w:spacing w:beforeLines="60" w:before="144" w:after="0"/>
            </w:pPr>
            <w:r w:rsidRPr="005A37E7">
              <w:t>UKAD disposera alors du droit de refuser l’exercice de l’Option, qu’il devra notifier par écrit au plus tard 30 jours après réception de la notification de l’Option envoyée par l’ADEME.</w:t>
            </w:r>
          </w:p>
          <w:p w:rsidR="0023773D" w:rsidRPr="005A37E7" w:rsidRDefault="0023773D" w:rsidP="002B4E94">
            <w:pPr>
              <w:spacing w:beforeLines="60" w:before="144" w:after="0"/>
            </w:pPr>
            <w:r w:rsidRPr="005A37E7">
              <w:t>Dans l’hypothèse d’un premier refus d’UKAD, l’ADEME disposera à nouveau de son droit de disposer d’options à l’expiration d’un délai de 1 an à compter du refus d’UKAD.</w:t>
            </w:r>
          </w:p>
          <w:p w:rsidR="0023773D" w:rsidRPr="005A37E7" w:rsidRDefault="0023773D" w:rsidP="002B4E94">
            <w:pPr>
              <w:spacing w:beforeLines="60" w:before="144" w:after="0"/>
            </w:pPr>
            <w:r w:rsidRPr="005A37E7">
              <w:t>Ce refus ne pourra intervenir qu’une fois et devra être justifié par</w:t>
            </w:r>
            <w:r w:rsidR="00B94F54">
              <w:t xml:space="preserve"> </w:t>
            </w:r>
            <w:r w:rsidRPr="005A37E7">
              <w:t>UKAD, l’ADEME ne pouvant alors exercer l’Option.</w:t>
            </w:r>
          </w:p>
          <w:p w:rsidR="0023773D" w:rsidRPr="005A37E7" w:rsidRDefault="0023773D" w:rsidP="002B4E94">
            <w:pPr>
              <w:spacing w:beforeLines="60" w:before="144" w:after="0"/>
            </w:pPr>
            <w:r w:rsidRPr="005A37E7">
              <w:t>Au-delà, UKAD s’engage à accepter l’exercice de l’Option dans les conditions détaillées ci-dessus.</w:t>
            </w:r>
          </w:p>
          <w:p w:rsidR="0023773D" w:rsidRPr="005A37E7" w:rsidRDefault="0023773D" w:rsidP="002B4E94">
            <w:pPr>
              <w:spacing w:beforeLines="60" w:before="144" w:after="0"/>
            </w:pPr>
            <w:r w:rsidRPr="005A37E7">
              <w:t>Pour les besoins du présent article, il convient de noter les références suivantes</w:t>
            </w:r>
            <w:r w:rsidR="005A37E7">
              <w:t> :</w:t>
            </w:r>
          </w:p>
          <w:p w:rsidR="0023773D" w:rsidRPr="005A37E7" w:rsidRDefault="0023773D" w:rsidP="002B4E94">
            <w:pPr>
              <w:pStyle w:val="Paragraphedeliste"/>
              <w:numPr>
                <w:ilvl w:val="0"/>
                <w:numId w:val="35"/>
              </w:numPr>
              <w:spacing w:beforeLines="60" w:before="144" w:after="0"/>
              <w:rPr>
                <w:rFonts w:asciiTheme="minorHAnsi" w:hAnsiTheme="minorHAnsi" w:cstheme="minorBidi"/>
              </w:rPr>
            </w:pPr>
            <w:r w:rsidRPr="005A37E7">
              <w:rPr>
                <w:rFonts w:asciiTheme="minorHAnsi" w:hAnsiTheme="minorHAnsi" w:cstheme="minorBidi"/>
              </w:rPr>
              <w:t xml:space="preserve">Montant de la </w:t>
            </w:r>
            <w:r w:rsidRPr="005A37E7">
              <w:t>participation</w:t>
            </w:r>
            <w:r w:rsidRPr="005A37E7">
              <w:rPr>
                <w:rFonts w:asciiTheme="minorHAnsi" w:hAnsiTheme="minorHAnsi" w:cstheme="minorBidi"/>
              </w:rPr>
              <w:t xml:space="preserve"> initiale de l’ADEME : 9.5 M€</w:t>
            </w:r>
          </w:p>
          <w:p w:rsidR="0023773D" w:rsidRPr="005A37E7" w:rsidRDefault="0023773D" w:rsidP="002B4E94">
            <w:pPr>
              <w:pStyle w:val="Paragraphedeliste"/>
              <w:numPr>
                <w:ilvl w:val="0"/>
                <w:numId w:val="35"/>
              </w:numPr>
              <w:spacing w:beforeLines="60" w:before="144" w:after="0"/>
            </w:pPr>
            <w:r w:rsidRPr="005A37E7">
              <w:lastRenderedPageBreak/>
              <w:t>Point Mort d’Ecotitanium : 1530 tonnes</w:t>
            </w:r>
          </w:p>
          <w:p w:rsidR="0023773D" w:rsidRPr="005A37E7" w:rsidRDefault="0023773D" w:rsidP="002B4E94">
            <w:pPr>
              <w:pStyle w:val="Paragraphedeliste"/>
              <w:numPr>
                <w:ilvl w:val="0"/>
                <w:numId w:val="35"/>
              </w:numPr>
              <w:spacing w:beforeLines="60" w:before="144" w:after="0"/>
            </w:pPr>
            <w:r w:rsidRPr="005A37E7">
              <w:t>Production Annuelle Normée d’Ecotitanium : 4000 tonnes</w:t>
            </w:r>
          </w:p>
          <w:p w:rsidR="0023773D" w:rsidRPr="005A37E7" w:rsidRDefault="0023773D" w:rsidP="002B4E94">
            <w:pPr>
              <w:pStyle w:val="Paragraphedeliste"/>
              <w:numPr>
                <w:ilvl w:val="0"/>
                <w:numId w:val="35"/>
              </w:numPr>
              <w:spacing w:beforeLines="60" w:before="144" w:after="0"/>
            </w:pPr>
            <w:proofErr w:type="spellStart"/>
            <w:r w:rsidRPr="005A37E7">
              <w:t>Ebitda</w:t>
            </w:r>
            <w:proofErr w:type="spellEnd"/>
            <w:r w:rsidRPr="005A37E7">
              <w:t xml:space="preserve"> d’</w:t>
            </w:r>
            <w:proofErr w:type="spellStart"/>
            <w:r w:rsidRPr="005A37E7">
              <w:t>Ecotitanium</w:t>
            </w:r>
            <w:proofErr w:type="spellEnd"/>
            <w:r w:rsidRPr="005A37E7">
              <w:t xml:space="preserve"> en 2022 (schéma industriel</w:t>
            </w:r>
          </w:p>
          <w:p w:rsidR="0023773D" w:rsidRPr="005A37E7" w:rsidRDefault="0023773D" w:rsidP="002B4E94">
            <w:pPr>
              <w:pStyle w:val="Paragraphedeliste"/>
              <w:numPr>
                <w:ilvl w:val="0"/>
                <w:numId w:val="35"/>
              </w:numPr>
              <w:spacing w:beforeLines="60" w:before="144" w:after="0"/>
            </w:pPr>
            <w:r w:rsidRPr="005A37E7">
              <w:t>optimisé) : 15,1 M€</w:t>
            </w:r>
          </w:p>
          <w:p w:rsidR="0023773D" w:rsidRPr="00AA5B74" w:rsidRDefault="0023773D" w:rsidP="002B4E94">
            <w:pPr>
              <w:pStyle w:val="Paragraphedeliste"/>
              <w:numPr>
                <w:ilvl w:val="0"/>
                <w:numId w:val="35"/>
              </w:numPr>
              <w:spacing w:beforeLines="60" w:before="144" w:after="0"/>
              <w:rPr>
                <w:lang w:val="en-US"/>
              </w:rPr>
            </w:pPr>
            <w:proofErr w:type="spellStart"/>
            <w:r w:rsidRPr="00AA5B74">
              <w:rPr>
                <w:lang w:val="en-US"/>
              </w:rPr>
              <w:t>Ebitda</w:t>
            </w:r>
            <w:proofErr w:type="spellEnd"/>
            <w:r w:rsidRPr="00AA5B74">
              <w:rPr>
                <w:lang w:val="en-US"/>
              </w:rPr>
              <w:t xml:space="preserve"> </w:t>
            </w:r>
            <w:proofErr w:type="spellStart"/>
            <w:r w:rsidRPr="00AA5B74">
              <w:rPr>
                <w:lang w:val="en-US"/>
              </w:rPr>
              <w:t>d’UKAD</w:t>
            </w:r>
            <w:proofErr w:type="spellEnd"/>
            <w:r w:rsidRPr="00AA5B74">
              <w:rPr>
                <w:lang w:val="en-US"/>
              </w:rPr>
              <w:t xml:space="preserve"> en 2022 (Business Plan hors Ecotitanium) : 35 M€</w:t>
            </w:r>
          </w:p>
          <w:p w:rsidR="0023773D" w:rsidRPr="005A37E7" w:rsidRDefault="0023773D" w:rsidP="002B4E94">
            <w:pPr>
              <w:pStyle w:val="Paragraphedeliste"/>
              <w:numPr>
                <w:ilvl w:val="0"/>
                <w:numId w:val="35"/>
              </w:numPr>
              <w:spacing w:beforeLines="60" w:before="144" w:after="0"/>
              <w:rPr>
                <w:b/>
              </w:rPr>
            </w:pPr>
            <w:proofErr w:type="spellStart"/>
            <w:r w:rsidRPr="005A37E7">
              <w:t>Ebitda</w:t>
            </w:r>
            <w:proofErr w:type="spellEnd"/>
            <w:r w:rsidRPr="005A37E7">
              <w:t xml:space="preserve"> UKAD (avant prise en compte du BP EcoTitanium) + </w:t>
            </w:r>
            <w:proofErr w:type="spellStart"/>
            <w:r w:rsidRPr="005A37E7">
              <w:t>Ebitda</w:t>
            </w:r>
            <w:proofErr w:type="spellEnd"/>
            <w:r w:rsidRPr="005A37E7">
              <w:t xml:space="preserve"> </w:t>
            </w:r>
            <w:proofErr w:type="spellStart"/>
            <w:r w:rsidRPr="005A37E7">
              <w:t>Ecotitanium</w:t>
            </w:r>
            <w:proofErr w:type="spellEnd"/>
            <w:r w:rsidRPr="005A37E7">
              <w:t xml:space="preserve"> : 50,1 M€</w:t>
            </w:r>
          </w:p>
        </w:tc>
        <w:tc>
          <w:tcPr>
            <w:tcW w:w="7542" w:type="dxa"/>
          </w:tcPr>
          <w:p w:rsidR="0023773D" w:rsidRPr="005A37E7" w:rsidRDefault="0023773D" w:rsidP="002B4E94">
            <w:pPr>
              <w:spacing w:beforeLines="60" w:before="144" w:after="0"/>
            </w:pPr>
            <w:r w:rsidRPr="005A37E7">
              <w:lastRenderedPageBreak/>
              <w:t xml:space="preserve">Après la période d’inaliénabilité, le prix de cession des actions des Investisseurs Financiers à UKAD sera déterminé par la  formule suivante (les différents nombres s’entendent comme la moyenne arithmétique des 2 exercices fiscaux précédant la cession): </w:t>
            </w:r>
          </w:p>
          <w:p w:rsidR="0023773D" w:rsidRPr="005A37E7" w:rsidRDefault="0023773D" w:rsidP="002B4E94">
            <w:pPr>
              <w:spacing w:beforeLines="60" w:before="144" w:after="0"/>
            </w:pPr>
            <w:r w:rsidRPr="005A37E7">
              <w:t>Si le volume de produits Ecotitanium est inférieur à 1 530 tonnes par an, alors la valeur des titres d’un Investisseur Financier (V1) est la suivante :</w:t>
            </w:r>
          </w:p>
          <w:p w:rsidR="0023773D" w:rsidRPr="005A37E7" w:rsidRDefault="0023773D" w:rsidP="0023773D">
            <w:pPr>
              <w:spacing w:before="120"/>
              <w:rPr>
                <w:rFonts w:ascii="Arial" w:hAnsi="Arial" w:cs="Arial"/>
              </w:rPr>
            </w:pPr>
          </w:p>
          <w:p w:rsidR="0023773D" w:rsidRPr="005A37E7" w:rsidRDefault="007335BF" w:rsidP="0023773D">
            <w:pPr>
              <w:spacing w:before="120"/>
              <w:rPr>
                <w:rFonts w:ascii="Arial" w:hAnsi="Arial" w:cs="Arial"/>
                <w:i/>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box>
                  <m:boxPr>
                    <m:opEmu m:val="1"/>
                    <m:ctrlPr>
                      <w:rPr>
                        <w:rFonts w:ascii="Cambria Math" w:hAnsi="Cambria Math" w:cs="Arial"/>
                        <w:i/>
                      </w:rPr>
                    </m:ctrlPr>
                  </m:boxPr>
                  <m:e>
                    <m:r>
                      <w:rPr>
                        <w:rFonts w:ascii="Cambria Math" w:hAnsi="Cambria Math" w:cs="Arial"/>
                      </w:rPr>
                      <m:t>+Fvolu</m:t>
                    </m:r>
                    <m:r>
                      <w:rPr>
                        <w:rFonts w:ascii="Cambria Math" w:hAnsi="Cambria Math" w:cs="Arial"/>
                      </w:rPr>
                      <m:t>me1 ×</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e>
                </m:box>
                <m:r>
                  <w:rPr>
                    <w:rFonts w:ascii="Cambria Math" w:hAnsi="Cambria Math" w:cs="Arial"/>
                  </w:rPr>
                  <m:t xml:space="preserve">  </m:t>
                </m:r>
              </m:oMath>
            </m:oMathPara>
          </w:p>
          <w:p w:rsidR="0023773D" w:rsidRPr="005A37E7" w:rsidRDefault="0023773D" w:rsidP="0023773D">
            <w:pPr>
              <w:spacing w:before="120"/>
              <w:rPr>
                <w:rFonts w:ascii="Cambria Math" w:hAnsi="Cambria Math" w:cs="Arial"/>
                <w:oMath/>
              </w:rPr>
            </w:pPr>
          </w:p>
          <w:p w:rsidR="0023773D" w:rsidRPr="003A5D3A" w:rsidRDefault="0023773D" w:rsidP="002B4E94">
            <w:pPr>
              <w:spacing w:beforeLines="60" w:before="144" w:after="0"/>
            </w:pPr>
            <w:r w:rsidRPr="003A5D3A">
              <w:t>Si les volumes produits par Ecotitanium sont supérieurs à 1530 tonnes par an, alors la valeur des titres de l’Investisseur Financier (V2) est la suivante :</w:t>
            </w:r>
          </w:p>
          <w:p w:rsidR="0023773D" w:rsidRPr="005A37E7" w:rsidRDefault="0023773D" w:rsidP="0023773D">
            <w:pPr>
              <w:spacing w:before="120"/>
              <w:rPr>
                <w:rFonts w:ascii="Arial" w:hAnsi="Arial" w:cs="Arial"/>
              </w:rPr>
            </w:pPr>
          </w:p>
          <w:p w:rsidR="0023773D" w:rsidRPr="005A37E7" w:rsidRDefault="007335BF" w:rsidP="0023773D">
            <w:pPr>
              <w:spacing w:before="120"/>
              <w:rPr>
                <w:rFonts w:ascii="Arial" w:eastAsiaTheme="minorEastAsia" w:hAnsi="Arial" w:cs="Arial"/>
                <w:i/>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 xml:space="preserve">=Max </m:t>
                </m:r>
                <m:d>
                  <m:dPr>
                    <m:ctrlPr>
                      <w:rPr>
                        <w:rFonts w:ascii="Cambria Math" w:hAnsi="Cambria Math" w:cs="Arial"/>
                        <w:i/>
                      </w:rPr>
                    </m:ctrlPr>
                  </m:dPr>
                  <m:e>
                    <m:r>
                      <w:rPr>
                        <w:rFonts w:ascii="Cambria Math" w:hAnsi="Cambria Math" w:cs="Arial"/>
                      </w:rPr>
                      <m:t>Montants investis ;</m:t>
                    </m:r>
                    <w:commentRangeStart w:id="53"/>
                    <m:r>
                      <w:rPr>
                        <w:rFonts w:ascii="Cambria Math" w:hAnsi="Cambria Math" w:cs="Arial"/>
                      </w:rPr>
                      <m:t>5,3M€+</m:t>
                    </m:r>
                    <m:d>
                      <m:dPr>
                        <m:ctrlPr>
                          <w:rPr>
                            <w:rFonts w:ascii="Cambria Math" w:hAnsi="Cambria Math" w:cs="Arial"/>
                            <w:i/>
                          </w:rPr>
                        </m:ctrlPr>
                      </m:dPr>
                      <m:e>
                        <m:r>
                          <w:rPr>
                            <w:rFonts w:ascii="Cambria Math" w:hAnsi="Cambria Math" w:cs="Arial"/>
                          </w:rPr>
                          <m:t>Vcible-5,3M€</m:t>
                        </m:r>
                      </m:e>
                    </m:d>
                    <w:commentRangeEnd w:id="53"/>
                    <m:r>
                      <m:rPr>
                        <m:sty m:val="p"/>
                      </m:rPr>
                      <w:rPr>
                        <w:rStyle w:val="Marquedecommentaire"/>
                      </w:rPr>
                      <w:commentReference w:id="53"/>
                    </m:r>
                    <m:r>
                      <w:rPr>
                        <w:rFonts w:ascii="Cambria Math" w:hAnsi="Cambria Math" w:cs="Arial"/>
                      </w:rPr>
                      <m:t>×K</m:t>
                    </m:r>
                  </m:e>
                </m:d>
              </m:oMath>
            </m:oMathPara>
          </w:p>
          <w:p w:rsidR="0023773D" w:rsidRPr="005A37E7" w:rsidRDefault="0023773D" w:rsidP="0023773D">
            <w:pPr>
              <w:spacing w:before="120"/>
              <w:rPr>
                <w:rFonts w:ascii="Arial" w:eastAsiaTheme="minorEastAsia" w:hAnsi="Arial" w:cs="Arial"/>
                <w:i/>
              </w:rPr>
            </w:pPr>
          </w:p>
          <w:p w:rsidR="0023773D" w:rsidRPr="005A37E7" w:rsidRDefault="0023773D" w:rsidP="0023773D">
            <w:pPr>
              <w:spacing w:before="120"/>
              <w:rPr>
                <w:rFonts w:ascii="Cambria Math" w:hAnsi="Cambria Math" w:cs="Arial"/>
                <w:oMath/>
              </w:rPr>
            </w:pPr>
            <w:r w:rsidRPr="005A37E7">
              <w:rPr>
                <w:rFonts w:ascii="Arial" w:eastAsiaTheme="minorEastAsia" w:hAnsi="Arial" w:cs="Arial"/>
                <w:i/>
              </w:rPr>
              <w:t xml:space="preserve">Où : </w:t>
            </w:r>
          </w:p>
          <w:p w:rsidR="0023773D" w:rsidRPr="005A37E7" w:rsidRDefault="0023773D" w:rsidP="0023773D">
            <w:pPr>
              <w:pStyle w:val="Paragraphedeliste"/>
              <w:numPr>
                <w:ilvl w:val="0"/>
                <w:numId w:val="39"/>
              </w:numPr>
              <w:spacing w:before="120" w:after="0" w:line="480" w:lineRule="auto"/>
              <w:rPr>
                <w:rFonts w:ascii="Arial" w:eastAsiaTheme="minorEastAsia" w:hAnsi="Arial" w:cs="Arial"/>
                <w:i/>
              </w:rPr>
            </w:pPr>
            <m:oMath>
              <m:r>
                <w:rPr>
                  <w:rFonts w:ascii="Cambria Math" w:eastAsiaTheme="minorEastAsia" w:hAnsi="Cambria Math" w:cs="Arial"/>
                </w:rPr>
                <m:t xml:space="preserve">Montants Investits= </m:t>
              </m:r>
              <m:nary>
                <m:naryPr>
                  <m:chr m:val="∑"/>
                  <m:limLoc m:val="undOvr"/>
                  <m:ctrlPr>
                    <w:rPr>
                      <w:rFonts w:ascii="Cambria Math" w:eastAsiaTheme="minorEastAsia" w:hAnsi="Cambria Math" w:cs="Arial"/>
                      <w:i/>
                    </w:rPr>
                  </m:ctrlPr>
                </m:naryPr>
                <m:sub>
                  <m:r>
                    <w:rPr>
                      <w:rFonts w:ascii="Cambria Math" w:eastAsiaTheme="minorEastAsia" w:hAnsi="Cambria Math" w:cs="Arial"/>
                    </w:rPr>
                    <m:t>i=0</m:t>
                  </m:r>
                </m:sub>
                <m:sup>
                  <m:r>
                    <w:rPr>
                      <w:rFonts w:ascii="Cambria Math" w:eastAsiaTheme="minorEastAsia" w:hAnsi="Cambria Math" w:cs="Arial"/>
                    </w:rPr>
                    <m:t>n</m:t>
                  </m:r>
                </m:sup>
                <m:e>
                  <m:sSub>
                    <m:sSubPr>
                      <m:ctrlPr>
                        <w:rPr>
                          <w:rFonts w:ascii="Cambria Math" w:eastAsiaTheme="minorEastAsia" w:hAnsi="Cambria Math" w:cs="Arial"/>
                          <w:i/>
                        </w:rPr>
                      </m:ctrlPr>
                    </m:sSubPr>
                    <m:e>
                      <m:r>
                        <w:rPr>
                          <w:rFonts w:ascii="Cambria Math" w:eastAsiaTheme="minorEastAsia" w:hAnsi="Cambria Math" w:cs="Arial"/>
                        </w:rPr>
                        <m:t>CF</m:t>
                      </m:r>
                    </m:e>
                    <m:sub>
                      <m:r>
                        <w:rPr>
                          <w:rFonts w:ascii="Cambria Math" w:eastAsiaTheme="minorEastAsia" w:hAnsi="Cambria Math" w:cs="Arial"/>
                        </w:rPr>
                        <m:t>i</m:t>
                      </m:r>
                    </m:sub>
                  </m:sSub>
                </m:e>
              </m:nary>
            </m:oMath>
          </w:p>
          <w:p w:rsidR="0023773D" w:rsidRPr="005A37E7" w:rsidRDefault="0023773D" w:rsidP="0023773D">
            <w:pPr>
              <w:pStyle w:val="Paragraphedeliste"/>
              <w:numPr>
                <w:ilvl w:val="0"/>
                <w:numId w:val="39"/>
              </w:numPr>
              <w:spacing w:before="120" w:after="0" w:line="480" w:lineRule="auto"/>
              <w:rPr>
                <w:rFonts w:ascii="Arial" w:eastAsiaTheme="minorEastAsia" w:hAnsi="Arial" w:cs="Arial"/>
                <w:i/>
              </w:rPr>
            </w:pPr>
            <m:oMath>
              <m:r>
                <w:rPr>
                  <w:rFonts w:ascii="Cambria Math" w:hAnsi="Cambria Math" w:cs="Arial"/>
                </w:rPr>
                <m:t>Fvolume1=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num>
                <m:den>
                  <m:r>
                    <w:rPr>
                      <w:rFonts w:ascii="Cambria Math" w:hAnsi="Cambria Math" w:cs="Arial"/>
                    </w:rPr>
                    <m:t>1530</m:t>
                  </m:r>
                </m:den>
              </m:f>
            </m:oMath>
          </w:p>
          <w:p w:rsidR="0023773D" w:rsidRPr="005A37E7" w:rsidRDefault="0023773D" w:rsidP="0023773D">
            <w:pPr>
              <w:pStyle w:val="Paragraphedeliste"/>
              <w:numPr>
                <w:ilvl w:val="0"/>
                <w:numId w:val="39"/>
              </w:numPr>
              <w:spacing w:before="120" w:after="0" w:line="480" w:lineRule="auto"/>
              <w:rPr>
                <w:rFonts w:ascii="Arial" w:eastAsiaTheme="minorEastAsia" w:hAnsi="Arial" w:cs="Arial"/>
                <w:i/>
              </w:rPr>
            </w:pPr>
            <m:oMath>
              <m:r>
                <w:rPr>
                  <w:rFonts w:ascii="Cambria Math" w:hAnsi="Cambria Math" w:cs="Arial"/>
                </w:rPr>
                <w:lastRenderedPageBreak/>
                <m:t>Vcible=(1+</m:t>
              </m:r>
              <m:sSup>
                <m:sSupPr>
                  <m:ctrlPr>
                    <w:rPr>
                      <w:rFonts w:ascii="Cambria Math" w:hAnsi="Cambria Math" w:cs="Arial"/>
                      <w:i/>
                    </w:rPr>
                  </m:ctrlPr>
                </m:sSupPr>
                <m:e>
                  <m:r>
                    <w:rPr>
                      <w:rFonts w:ascii="Cambria Math" w:hAnsi="Cambria Math" w:cs="Arial"/>
                    </w:rPr>
                    <m:t>11,3%)</m:t>
                  </m:r>
                </m:e>
                <m:sup>
                  <m:r>
                    <w:rPr>
                      <w:rFonts w:ascii="Cambria Math" w:hAnsi="Cambria Math" w:cs="Arial"/>
                    </w:rPr>
                    <m:t xml:space="preserve">n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m:t>
                          </m:r>
                        </m:e>
                        <m:sub>
                          <m:r>
                            <w:rPr>
                              <w:rFonts w:ascii="Cambria Math" w:hAnsi="Cambria Math" w:cs="Arial"/>
                            </w:rPr>
                            <m:t>i</m:t>
                          </m:r>
                        </m:sub>
                      </m:sSub>
                    </m:num>
                    <m:den>
                      <m:r>
                        <w:rPr>
                          <w:rFonts w:ascii="Cambria Math" w:hAnsi="Cambria Math" w:cs="Arial"/>
                        </w:rPr>
                        <m:t>(1+</m:t>
                      </m:r>
                      <m:sSup>
                        <m:sSupPr>
                          <m:ctrlPr>
                            <w:rPr>
                              <w:rFonts w:ascii="Cambria Math" w:hAnsi="Cambria Math" w:cs="Arial"/>
                              <w:i/>
                            </w:rPr>
                          </m:ctrlPr>
                        </m:sSupPr>
                        <m:e>
                          <m:r>
                            <w:rPr>
                              <w:rFonts w:ascii="Cambria Math" w:hAnsi="Cambria Math" w:cs="Arial"/>
                            </w:rPr>
                            <m:t>11,3%)</m:t>
                          </m:r>
                        </m:e>
                        <m:sup>
                          <m:r>
                            <w:rPr>
                              <w:rFonts w:ascii="Cambria Math" w:hAnsi="Cambria Math" w:cs="Arial"/>
                            </w:rPr>
                            <m:t xml:space="preserve">n </m:t>
                          </m:r>
                        </m:sup>
                      </m:sSup>
                    </m:den>
                  </m:f>
                </m:e>
              </m:nary>
            </m:oMath>
          </w:p>
          <w:p w:rsidR="0023773D" w:rsidRPr="005A37E7" w:rsidRDefault="0023773D" w:rsidP="002B4E94">
            <w:pPr>
              <w:pStyle w:val="Paragraphedeliste"/>
              <w:numPr>
                <w:ilvl w:val="0"/>
                <w:numId w:val="39"/>
              </w:numPr>
              <w:spacing w:beforeLines="60" w:before="144" w:after="0"/>
            </w:pPr>
            <w:proofErr w:type="spellStart"/>
            <w:r w:rsidRPr="005A37E7">
              <w:rPr>
                <w:rFonts w:ascii="Arial" w:hAnsi="Arial" w:cs="Arial"/>
              </w:rPr>
              <w:t>C</w:t>
            </w:r>
            <w:r w:rsidRPr="005A37E7">
              <w:t>Fi</w:t>
            </w:r>
            <w:proofErr w:type="spellEnd"/>
            <w:r w:rsidRPr="005A37E7">
              <w:t xml:space="preserve"> = flux de trésorerie positifs (dividendes ou réductions de capital ou autres) ou négatifs (injections de capital, apport en comptes courants ou autres) perçus ou versés par l’Investisseur Financier le </w:t>
            </w:r>
            <w:proofErr w:type="spellStart"/>
            <w:r w:rsidRPr="005A37E7">
              <w:t>ième</w:t>
            </w:r>
            <w:proofErr w:type="spellEnd"/>
            <w:r w:rsidRPr="005A37E7">
              <w:t xml:space="preserve"> jour après le jour de la signature du Pacte d’Actionnaire.</w:t>
            </w:r>
          </w:p>
          <w:p w:rsidR="0023773D" w:rsidRPr="005A37E7" w:rsidRDefault="0023773D" w:rsidP="002B4E94">
            <w:pPr>
              <w:pStyle w:val="Paragraphedeliste"/>
              <w:spacing w:beforeLines="60" w:before="144" w:after="0"/>
            </w:pPr>
          </w:p>
          <w:p w:rsidR="0023773D" w:rsidRPr="005A37E7" w:rsidRDefault="0023773D" w:rsidP="002B4E94">
            <w:pPr>
              <w:pStyle w:val="Paragraphedeliste"/>
              <w:numPr>
                <w:ilvl w:val="0"/>
                <w:numId w:val="39"/>
              </w:numPr>
              <w:spacing w:beforeLines="60" w:before="144" w:after="0"/>
              <w:rPr>
                <w:rFonts w:asciiTheme="minorHAnsi" w:eastAsiaTheme="minorHAnsi" w:hAnsiTheme="minorHAnsi" w:cstheme="minorBidi"/>
              </w:rPr>
            </w:pPr>
            <w:r w:rsidRPr="005A37E7">
              <w:rPr>
                <w:rFonts w:asciiTheme="minorHAnsi" w:hAnsiTheme="minorHAnsi" w:cstheme="minorBidi"/>
              </w:rPr>
              <w:t xml:space="preserve">n </w:t>
            </w:r>
            <w:r w:rsidRPr="003A5D3A">
              <w:t>est le nombre de jours entre la signature du Pacte d’Actionnaire et la cession des tit</w:t>
            </w:r>
            <w:r w:rsidR="00563ED0" w:rsidRPr="003A5D3A">
              <w:t>res de l’Investisseur Financier/365</w:t>
            </w:r>
          </w:p>
          <w:p w:rsidR="0023773D" w:rsidRPr="005A37E7" w:rsidRDefault="0023773D" w:rsidP="0023773D">
            <w:pPr>
              <w:pStyle w:val="Paragraphedeliste"/>
              <w:spacing w:before="120" w:line="480" w:lineRule="auto"/>
              <w:rPr>
                <w:rFonts w:ascii="Arial" w:eastAsiaTheme="minorEastAsia" w:hAnsi="Arial" w:cs="Arial"/>
                <w:i/>
              </w:rPr>
            </w:pPr>
          </w:p>
          <w:p w:rsidR="0023773D" w:rsidRPr="005A37E7" w:rsidRDefault="0023773D" w:rsidP="0023773D">
            <w:pPr>
              <w:pStyle w:val="Paragraphedeliste"/>
              <w:numPr>
                <w:ilvl w:val="0"/>
                <w:numId w:val="39"/>
              </w:numPr>
              <w:spacing w:before="120" w:after="0" w:line="480" w:lineRule="auto"/>
              <w:jc w:val="left"/>
              <w:rPr>
                <w:rFonts w:ascii="Arial" w:eastAsiaTheme="minorEastAsia" w:hAnsi="Arial" w:cs="Arial"/>
                <w:i/>
              </w:rPr>
            </w:pPr>
            <m:oMath>
              <m:r>
                <w:rPr>
                  <w:rFonts w:ascii="Cambria Math" w:hAnsi="Cambria Math" w:cs="Arial"/>
                </w:rPr>
                <m:t>K=Min (1 ;Fvolume2×Fmarge)</m:t>
              </m:r>
            </m:oMath>
          </w:p>
          <w:p w:rsidR="0023773D" w:rsidRDefault="0023773D" w:rsidP="0023773D">
            <w:pPr>
              <w:pStyle w:val="Paragraphedeliste"/>
              <w:numPr>
                <w:ilvl w:val="0"/>
                <w:numId w:val="39"/>
              </w:numPr>
              <w:spacing w:before="120" w:after="0" w:line="480" w:lineRule="auto"/>
              <w:jc w:val="left"/>
              <w:rPr>
                <w:rFonts w:ascii="Arial" w:eastAsiaTheme="minorEastAsia" w:hAnsi="Arial" w:cs="Arial"/>
                <w:i/>
              </w:rPr>
            </w:pPr>
            <m:oMath>
              <m:r>
                <w:rPr>
                  <w:rFonts w:ascii="Cambria Math" w:hAnsi="Cambria Math" w:cs="Arial"/>
                </w:rPr>
                <m:t>Fvolume2=</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Ecotitanium</m:t>
                          </m:r>
                        </m:sub>
                      </m:sSub>
                      <m:r>
                        <w:rPr>
                          <w:rFonts w:ascii="Cambria Math" w:hAnsi="Cambria Math" w:cs="Arial"/>
                        </w:rPr>
                        <m:t>-1530</m:t>
                      </m:r>
                    </m:num>
                    <m:den>
                      <w:commentRangeStart w:id="54"/>
                      <m:r>
                        <w:rPr>
                          <w:rFonts w:ascii="Cambria Math" w:hAnsi="Cambria Math" w:cs="Arial"/>
                        </w:rPr>
                        <m:t>4034</m:t>
                      </m:r>
                      <w:commentRangeEnd w:id="54"/>
                      <m:r>
                        <m:rPr>
                          <m:sty m:val="p"/>
                        </m:rPr>
                        <w:rPr>
                          <w:rStyle w:val="Marquedecommentaire"/>
                          <w:rFonts w:asciiTheme="minorHAnsi" w:eastAsiaTheme="minorHAnsi" w:hAnsiTheme="minorHAnsi" w:cstheme="minorBidi"/>
                        </w:rPr>
                        <w:commentReference w:id="54"/>
                      </m:r>
                      <m:r>
                        <w:rPr>
                          <w:rFonts w:ascii="Cambria Math" w:hAnsi="Cambria Math" w:cs="Arial"/>
                        </w:rPr>
                        <m:t>-1530</m:t>
                      </m:r>
                    </m:den>
                  </m:f>
                </m:e>
              </m:box>
              <m:r>
                <w:rPr>
                  <w:rFonts w:ascii="Cambria Math" w:hAnsi="Cambria Math" w:cs="Arial"/>
                </w:rPr>
                <m:t xml:space="preserve"> </m:t>
              </m:r>
              <m:box>
                <m:boxPr>
                  <m:opEmu m:val="1"/>
                  <m:ctrlPr>
                    <w:rPr>
                      <w:rFonts w:ascii="Cambria Math" w:hAnsi="Cambria Math" w:cs="Arial"/>
                      <w:i/>
                    </w:rPr>
                  </m:ctrlPr>
                </m:boxPr>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 xml:space="preserve"> </m:t>
              </m:r>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UKAD</m:t>
                          </m:r>
                        </m:sub>
                      </m:sSub>
                      <m:r>
                        <w:rPr>
                          <w:rFonts w:ascii="Cambria Math" w:hAnsi="Cambria Math" w:cs="Arial"/>
                        </w:rPr>
                        <m:t>-1530</m:t>
                      </m:r>
                    </m:num>
                    <m:den>
                      <m:r>
                        <w:rPr>
                          <w:rFonts w:ascii="Cambria Math" w:hAnsi="Cambria Math" w:cs="Arial"/>
                        </w:rPr>
                        <m:t>14 000-1530</m:t>
                      </m:r>
                    </m:den>
                  </m:f>
                </m:e>
              </m:box>
            </m:oMath>
          </w:p>
          <w:p w:rsidR="005A37E7" w:rsidRPr="005A37E7" w:rsidRDefault="005A37E7" w:rsidP="0023773D">
            <w:pPr>
              <w:pStyle w:val="Paragraphedeliste"/>
              <w:numPr>
                <w:ilvl w:val="0"/>
                <w:numId w:val="39"/>
              </w:numPr>
              <w:spacing w:before="120" w:after="0" w:line="480" w:lineRule="auto"/>
              <w:jc w:val="left"/>
              <w:rPr>
                <w:rFonts w:ascii="Arial" w:eastAsiaTheme="minorEastAsia" w:hAnsi="Arial" w:cs="Arial"/>
                <w:i/>
              </w:rPr>
            </w:pPr>
          </w:p>
          <w:p w:rsidR="0023773D" w:rsidRPr="005A37E7" w:rsidRDefault="0023773D" w:rsidP="0023773D">
            <w:pPr>
              <w:rPr>
                <w:b/>
              </w:rPr>
            </w:pPr>
            <m:oMathPara>
              <m:oMath>
                <m:r>
                  <w:rPr>
                    <w:rFonts w:ascii="Cambria Math" w:hAnsi="Cambria Math" w:cs="Arial"/>
                  </w:rPr>
                  <m:t>Fmarge=</m:t>
                </m:r>
                <m:box>
                  <m:boxPr>
                    <m:opEmu m:val="1"/>
                    <m:ctrlPr>
                      <w:rPr>
                        <w:rFonts w:ascii="Cambria Math" w:hAnsi="Cambria Math" w:cs="Arial"/>
                        <w:i/>
                      </w:rPr>
                    </m:ctrlPr>
                  </m:box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EBITDA</m:t>
                            </m:r>
                          </m:e>
                          <m:sub>
                            <m:r>
                              <w:rPr>
                                <w:rFonts w:ascii="Cambria Math" w:hAnsi="Cambria Math" w:cs="Arial"/>
                              </w:rPr>
                              <m:t>UKAD</m:t>
                            </m:r>
                          </m:sub>
                        </m:sSub>
                        <m:r>
                          <w:rPr>
                            <w:rFonts w:ascii="Cambria Math" w:hAnsi="Cambria Math" w:cs="Arial"/>
                          </w:rPr>
                          <m:t>+</m:t>
                        </m:r>
                        <m:sSub>
                          <m:sSubPr>
                            <m:ctrlPr>
                              <w:rPr>
                                <w:rFonts w:ascii="Cambria Math" w:hAnsi="Cambria Math" w:cs="Arial"/>
                                <w:i/>
                              </w:rPr>
                            </m:ctrlPr>
                          </m:sSubPr>
                          <m:e>
                            <m:r>
                              <w:rPr>
                                <w:rFonts w:ascii="Cambria Math" w:hAnsi="Cambria Math" w:cs="Arial"/>
                              </w:rPr>
                              <m:t>EBITDA</m:t>
                            </m:r>
                          </m:e>
                          <m:sub>
                            <m:r>
                              <w:rPr>
                                <w:rFonts w:ascii="Cambria Math" w:hAnsi="Cambria Math" w:cs="Arial"/>
                              </w:rPr>
                              <m:t>Ecotitaniu</m:t>
                            </m:r>
                            <m:r>
                              <w:rPr>
                                <w:rFonts w:ascii="Cambria Math" w:hAnsi="Cambria Math" w:cs="Arial"/>
                              </w:rPr>
                              <m:t>m</m:t>
                            </m:r>
                          </m:sub>
                        </m:sSub>
                      </m:num>
                      <m:den>
                        <m:r>
                          <w:rPr>
                            <w:rFonts w:ascii="Cambria Math" w:hAnsi="Cambria Math" w:cs="Arial"/>
                          </w:rPr>
                          <m:t>50,1M€</m:t>
                        </m:r>
                      </m:den>
                    </m:f>
                  </m:e>
                </m:box>
              </m:oMath>
            </m:oMathPara>
          </w:p>
        </w:tc>
      </w:tr>
    </w:tbl>
    <w:p w:rsidR="00DB5EB9" w:rsidRPr="005A37E7" w:rsidRDefault="00DB5EB9" w:rsidP="00B223D9">
      <w:pPr>
        <w:rPr>
          <w:b/>
        </w:rPr>
      </w:pPr>
    </w:p>
    <w:p w:rsidR="00DB5EB9" w:rsidRPr="005A37E7" w:rsidRDefault="00DB5EB9">
      <w:pPr>
        <w:spacing w:after="200"/>
        <w:rPr>
          <w:b/>
        </w:rPr>
      </w:pPr>
      <w:r w:rsidRPr="005A37E7">
        <w:rPr>
          <w:b/>
        </w:rPr>
        <w:br w:type="page"/>
      </w:r>
    </w:p>
    <w:p w:rsidR="0023773D" w:rsidRPr="005A37E7" w:rsidRDefault="00DB5EB9" w:rsidP="005A37E7">
      <w:pPr>
        <w:jc w:val="center"/>
        <w:rPr>
          <w:b/>
          <w:u w:val="single"/>
        </w:rPr>
      </w:pPr>
      <w:commentRangeStart w:id="55"/>
      <w:r w:rsidRPr="005A37E7">
        <w:rPr>
          <w:b/>
          <w:u w:val="single"/>
        </w:rPr>
        <w:lastRenderedPageBreak/>
        <w:t>Annexe 2 : Règles de gouvernance</w:t>
      </w:r>
      <w:commentRangeEnd w:id="55"/>
      <w:r w:rsidR="00F00852">
        <w:rPr>
          <w:rStyle w:val="Marquedecommentaire"/>
        </w:rPr>
        <w:commentReference w:id="55"/>
      </w:r>
    </w:p>
    <w:p w:rsidR="005A37E7" w:rsidRDefault="005A37E7" w:rsidP="00B223D9">
      <w:pPr>
        <w:rPr>
          <w:b/>
        </w:rPr>
      </w:pPr>
    </w:p>
    <w:tbl>
      <w:tblPr>
        <w:tblStyle w:val="Grilledutableau"/>
        <w:tblW w:w="13716" w:type="dxa"/>
        <w:tblLook w:val="04A0" w:firstRow="1" w:lastRow="0" w:firstColumn="1" w:lastColumn="0" w:noHBand="0" w:noVBand="1"/>
      </w:tblPr>
      <w:tblGrid>
        <w:gridCol w:w="7289"/>
        <w:gridCol w:w="3438"/>
        <w:gridCol w:w="2989"/>
      </w:tblGrid>
      <w:tr w:rsidR="005A37E7" w:rsidTr="007653EC">
        <w:trPr>
          <w:tblHeader/>
        </w:trPr>
        <w:tc>
          <w:tcPr>
            <w:tcW w:w="6912" w:type="dxa"/>
            <w:shd w:val="clear" w:color="auto" w:fill="8DB3E2" w:themeFill="text2" w:themeFillTint="66"/>
          </w:tcPr>
          <w:p w:rsidR="005A37E7" w:rsidRDefault="005A37E7" w:rsidP="00B223D9">
            <w:pPr>
              <w:rPr>
                <w:b/>
              </w:rPr>
            </w:pPr>
          </w:p>
        </w:tc>
        <w:tc>
          <w:tcPr>
            <w:tcW w:w="3261" w:type="dxa"/>
            <w:shd w:val="clear" w:color="auto" w:fill="8DB3E2" w:themeFill="text2" w:themeFillTint="66"/>
          </w:tcPr>
          <w:p w:rsidR="005A37E7" w:rsidRDefault="005A37E7" w:rsidP="00AA5B74">
            <w:pPr>
              <w:jc w:val="center"/>
              <w:rPr>
                <w:b/>
              </w:rPr>
            </w:pPr>
            <w:r>
              <w:rPr>
                <w:b/>
              </w:rPr>
              <w:t>Organe</w:t>
            </w:r>
          </w:p>
        </w:tc>
        <w:tc>
          <w:tcPr>
            <w:tcW w:w="2835" w:type="dxa"/>
            <w:shd w:val="clear" w:color="auto" w:fill="8DB3E2" w:themeFill="text2" w:themeFillTint="66"/>
          </w:tcPr>
          <w:p w:rsidR="005A37E7" w:rsidRPr="00B3601E" w:rsidRDefault="00B3601E" w:rsidP="00734A65">
            <w:pPr>
              <w:jc w:val="center"/>
              <w:rPr>
                <w:b/>
              </w:rPr>
            </w:pPr>
            <w:r w:rsidRPr="007653EC">
              <w:rPr>
                <w:b/>
              </w:rPr>
              <w:t>Majorité Qualifiée</w:t>
            </w:r>
            <w:r w:rsidRPr="00B3601E">
              <w:rPr>
                <w:rStyle w:val="Appelnotedebasdep"/>
                <w:rFonts w:ascii="Arial" w:hAnsi="Arial" w:cs="Arial"/>
                <w:sz w:val="20"/>
                <w:szCs w:val="20"/>
              </w:rPr>
              <w:footnoteReference w:id="1"/>
            </w:r>
          </w:p>
        </w:tc>
      </w:tr>
      <w:tr w:rsidR="005A37E7" w:rsidTr="00734A65">
        <w:tc>
          <w:tcPr>
            <w:tcW w:w="6912" w:type="dxa"/>
          </w:tcPr>
          <w:p w:rsidR="005A37E7" w:rsidRDefault="005A37E7" w:rsidP="00B223D9">
            <w:pPr>
              <w:rPr>
                <w:b/>
              </w:rPr>
            </w:pPr>
            <w:r>
              <w:rPr>
                <w:b/>
              </w:rPr>
              <w:t>Proposition de modification statutaire</w:t>
            </w:r>
          </w:p>
        </w:tc>
        <w:tc>
          <w:tcPr>
            <w:tcW w:w="3261" w:type="dxa"/>
          </w:tcPr>
          <w:p w:rsidR="005A37E7" w:rsidRDefault="00AA5B74" w:rsidP="00AA5B74">
            <w:pPr>
              <w:jc w:val="center"/>
              <w:rPr>
                <w:b/>
              </w:rPr>
            </w:pPr>
            <w:r w:rsidRPr="008507F6">
              <w:rPr>
                <w:rFonts w:ascii="Arial" w:hAnsi="Arial" w:cs="Arial"/>
                <w:sz w:val="20"/>
                <w:szCs w:val="20"/>
              </w:rPr>
              <w:t>P. + CS</w:t>
            </w:r>
            <w:bookmarkStart w:id="56" w:name="_Ref356562096"/>
            <w:r w:rsidRPr="008507F6">
              <w:rPr>
                <w:rStyle w:val="Appelnotedebasdep"/>
                <w:rFonts w:ascii="Arial" w:hAnsi="Arial" w:cs="Arial"/>
                <w:sz w:val="20"/>
                <w:szCs w:val="20"/>
              </w:rPr>
              <w:footnoteReference w:id="2"/>
            </w:r>
            <w:bookmarkEnd w:id="56"/>
          </w:p>
        </w:tc>
        <w:tc>
          <w:tcPr>
            <w:tcW w:w="2835" w:type="dxa"/>
          </w:tcPr>
          <w:p w:rsidR="005A37E7" w:rsidRDefault="00734A65" w:rsidP="00302087">
            <w:pPr>
              <w:jc w:val="center"/>
              <w:rPr>
                <w:b/>
              </w:rPr>
            </w:pPr>
            <w:r>
              <w:rPr>
                <w:b/>
              </w:rPr>
              <w:t>X</w:t>
            </w:r>
          </w:p>
        </w:tc>
      </w:tr>
      <w:tr w:rsidR="005A37E7" w:rsidTr="00734A65">
        <w:tc>
          <w:tcPr>
            <w:tcW w:w="6912" w:type="dxa"/>
          </w:tcPr>
          <w:p w:rsidR="005A37E7" w:rsidRDefault="005A37E7" w:rsidP="00B223D9">
            <w:pPr>
              <w:rPr>
                <w:b/>
              </w:rPr>
            </w:pPr>
            <w:r>
              <w:rPr>
                <w:b/>
              </w:rPr>
              <w:t>Modification de périmètre effectif de l’activité</w:t>
            </w:r>
          </w:p>
        </w:tc>
        <w:tc>
          <w:tcPr>
            <w:tcW w:w="3261" w:type="dxa"/>
          </w:tcPr>
          <w:p w:rsidR="005A37E7" w:rsidRDefault="00AA5B74" w:rsidP="00AA5B74">
            <w:pPr>
              <w:jc w:val="center"/>
              <w:rPr>
                <w:b/>
              </w:rPr>
            </w:pPr>
            <w:r w:rsidRPr="008507F6">
              <w:rPr>
                <w:rFonts w:ascii="Arial" w:hAnsi="Arial" w:cs="Arial"/>
                <w:sz w:val="20"/>
                <w:szCs w:val="20"/>
              </w:rPr>
              <w:t>P. + CS</w:t>
            </w:r>
          </w:p>
        </w:tc>
        <w:tc>
          <w:tcPr>
            <w:tcW w:w="2835" w:type="dxa"/>
          </w:tcPr>
          <w:p w:rsidR="005A37E7" w:rsidRDefault="00734A65" w:rsidP="00302087">
            <w:pPr>
              <w:jc w:val="center"/>
              <w:rPr>
                <w:b/>
              </w:rPr>
            </w:pPr>
            <w:r>
              <w:rPr>
                <w:b/>
              </w:rPr>
              <w:t>X</w:t>
            </w:r>
          </w:p>
        </w:tc>
      </w:tr>
      <w:tr w:rsidR="005A37E7" w:rsidTr="00734A65">
        <w:tc>
          <w:tcPr>
            <w:tcW w:w="6912" w:type="dxa"/>
          </w:tcPr>
          <w:p w:rsidR="005A37E7" w:rsidRDefault="005A37E7" w:rsidP="00B223D9">
            <w:pPr>
              <w:rPr>
                <w:b/>
              </w:rPr>
            </w:pPr>
            <w:r>
              <w:rPr>
                <w:b/>
              </w:rPr>
              <w:t>Création de filiales</w:t>
            </w:r>
          </w:p>
        </w:tc>
        <w:tc>
          <w:tcPr>
            <w:tcW w:w="3261" w:type="dxa"/>
          </w:tcPr>
          <w:p w:rsidR="005A37E7" w:rsidRDefault="00AA5B74" w:rsidP="00AA5B74">
            <w:pPr>
              <w:jc w:val="center"/>
              <w:rPr>
                <w:b/>
              </w:rPr>
            </w:pPr>
            <w:r w:rsidRPr="008507F6">
              <w:rPr>
                <w:rFonts w:ascii="Arial" w:hAnsi="Arial" w:cs="Arial"/>
                <w:sz w:val="20"/>
                <w:szCs w:val="20"/>
              </w:rPr>
              <w:t>P. + CS</w:t>
            </w:r>
          </w:p>
        </w:tc>
        <w:tc>
          <w:tcPr>
            <w:tcW w:w="2835" w:type="dxa"/>
          </w:tcPr>
          <w:p w:rsidR="005A37E7" w:rsidRDefault="00734A65" w:rsidP="00302087">
            <w:pPr>
              <w:jc w:val="center"/>
              <w:rPr>
                <w:b/>
              </w:rPr>
            </w:pPr>
            <w:r>
              <w:rPr>
                <w:b/>
              </w:rPr>
              <w:t>X</w:t>
            </w:r>
          </w:p>
        </w:tc>
      </w:tr>
      <w:tr w:rsidR="005A37E7" w:rsidTr="00734A65">
        <w:tc>
          <w:tcPr>
            <w:tcW w:w="6912" w:type="dxa"/>
          </w:tcPr>
          <w:p w:rsidR="005A37E7" w:rsidRDefault="005A37E7" w:rsidP="00B223D9">
            <w:pPr>
              <w:rPr>
                <w:b/>
              </w:rPr>
            </w:pPr>
            <w:r>
              <w:rPr>
                <w:b/>
              </w:rPr>
              <w:t>Création d’établissements</w:t>
            </w:r>
          </w:p>
        </w:tc>
        <w:tc>
          <w:tcPr>
            <w:tcW w:w="3261" w:type="dxa"/>
          </w:tcPr>
          <w:p w:rsidR="005A37E7" w:rsidRDefault="00AA5B74" w:rsidP="00AA5B74">
            <w:pPr>
              <w:jc w:val="center"/>
              <w:rPr>
                <w:b/>
              </w:rPr>
            </w:pPr>
            <w:r w:rsidRPr="008507F6">
              <w:rPr>
                <w:rFonts w:ascii="Arial" w:hAnsi="Arial" w:cs="Arial"/>
                <w:sz w:val="20"/>
                <w:szCs w:val="20"/>
              </w:rPr>
              <w:t>P. + CS</w:t>
            </w:r>
          </w:p>
        </w:tc>
        <w:tc>
          <w:tcPr>
            <w:tcW w:w="2835" w:type="dxa"/>
          </w:tcPr>
          <w:p w:rsidR="005A37E7" w:rsidRDefault="00734A65" w:rsidP="00302087">
            <w:pPr>
              <w:jc w:val="center"/>
              <w:rPr>
                <w:b/>
              </w:rPr>
            </w:pPr>
            <w:r>
              <w:rPr>
                <w:b/>
              </w:rPr>
              <w:t>X</w:t>
            </w:r>
          </w:p>
        </w:tc>
      </w:tr>
      <w:tr w:rsidR="005A37E7" w:rsidTr="00734A65">
        <w:tc>
          <w:tcPr>
            <w:tcW w:w="6912" w:type="dxa"/>
          </w:tcPr>
          <w:p w:rsidR="005A37E7" w:rsidRDefault="005A37E7" w:rsidP="00B223D9">
            <w:pPr>
              <w:rPr>
                <w:b/>
              </w:rPr>
            </w:pPr>
            <w:r w:rsidRPr="005A37E7">
              <w:rPr>
                <w:b/>
              </w:rPr>
              <w:t>Acquisition, rachat, souscription, cession de valeurs mobilières ou titres financiers (sauf OPCM ou titres de placements de trésorerie) et de fonds de commerce pour un montant à déterminer</w:t>
            </w:r>
          </w:p>
        </w:tc>
        <w:tc>
          <w:tcPr>
            <w:tcW w:w="3261" w:type="dxa"/>
          </w:tcPr>
          <w:p w:rsidR="005A37E7" w:rsidRDefault="00AA5B74" w:rsidP="00AA5B74">
            <w:pPr>
              <w:jc w:val="center"/>
              <w:rPr>
                <w:b/>
              </w:rPr>
            </w:pPr>
            <w:r w:rsidRPr="008507F6">
              <w:rPr>
                <w:rFonts w:ascii="Arial" w:hAnsi="Arial" w:cs="Arial"/>
                <w:sz w:val="20"/>
                <w:szCs w:val="20"/>
              </w:rPr>
              <w:t>P. + CS</w:t>
            </w:r>
          </w:p>
        </w:tc>
        <w:tc>
          <w:tcPr>
            <w:tcW w:w="2835" w:type="dxa"/>
          </w:tcPr>
          <w:p w:rsidR="005A37E7" w:rsidRDefault="00734A65" w:rsidP="00302087">
            <w:pPr>
              <w:jc w:val="center"/>
              <w:rPr>
                <w:b/>
              </w:rPr>
            </w:pPr>
            <w:r>
              <w:rPr>
                <w:b/>
              </w:rPr>
              <w:t>X</w:t>
            </w:r>
          </w:p>
        </w:tc>
      </w:tr>
      <w:tr w:rsidR="005A37E7" w:rsidTr="00734A65">
        <w:tc>
          <w:tcPr>
            <w:tcW w:w="6912" w:type="dxa"/>
          </w:tcPr>
          <w:p w:rsidR="005A37E7" w:rsidRDefault="005A37E7" w:rsidP="00B223D9">
            <w:pPr>
              <w:rPr>
                <w:b/>
              </w:rPr>
            </w:pPr>
            <w:r w:rsidRPr="005A37E7">
              <w:rPr>
                <w:b/>
              </w:rPr>
              <w:t xml:space="preserve">Cession, transfert ou </w:t>
            </w:r>
            <w:commentRangeStart w:id="57"/>
            <w:r w:rsidRPr="005A37E7">
              <w:rPr>
                <w:b/>
              </w:rPr>
              <w:t>acquisition d'actif incorporel</w:t>
            </w:r>
            <w:commentRangeEnd w:id="57"/>
            <w:r w:rsidR="00F00852">
              <w:rPr>
                <w:rStyle w:val="Marquedecommentaire"/>
              </w:rPr>
              <w:commentReference w:id="57"/>
            </w:r>
          </w:p>
        </w:tc>
        <w:tc>
          <w:tcPr>
            <w:tcW w:w="3261" w:type="dxa"/>
          </w:tcPr>
          <w:p w:rsidR="005A37E7" w:rsidRDefault="00AA5B74" w:rsidP="00AA5B74">
            <w:pPr>
              <w:jc w:val="center"/>
              <w:rPr>
                <w:b/>
              </w:rPr>
            </w:pPr>
            <w:r w:rsidRPr="008507F6">
              <w:rPr>
                <w:rFonts w:ascii="Arial" w:hAnsi="Arial" w:cs="Arial"/>
                <w:sz w:val="20"/>
                <w:szCs w:val="20"/>
              </w:rPr>
              <w:t>P. + CS</w:t>
            </w:r>
          </w:p>
        </w:tc>
        <w:tc>
          <w:tcPr>
            <w:tcW w:w="2835" w:type="dxa"/>
          </w:tcPr>
          <w:p w:rsidR="005A37E7" w:rsidRDefault="00734A65" w:rsidP="00302087">
            <w:pPr>
              <w:jc w:val="center"/>
              <w:rPr>
                <w:b/>
              </w:rPr>
            </w:pPr>
            <w:r>
              <w:rPr>
                <w:b/>
              </w:rPr>
              <w:t>X</w:t>
            </w:r>
          </w:p>
        </w:tc>
      </w:tr>
      <w:tr w:rsidR="005A37E7" w:rsidTr="00734A65">
        <w:tc>
          <w:tcPr>
            <w:tcW w:w="6912" w:type="dxa"/>
          </w:tcPr>
          <w:p w:rsidR="005A37E7" w:rsidRDefault="005A37E7" w:rsidP="00B223D9">
            <w:pPr>
              <w:rPr>
                <w:b/>
              </w:rPr>
            </w:pPr>
            <w:r w:rsidRPr="005A37E7">
              <w:rPr>
                <w:b/>
              </w:rPr>
              <w:t>Prises de participation dans toutes sociétés</w:t>
            </w:r>
          </w:p>
        </w:tc>
        <w:tc>
          <w:tcPr>
            <w:tcW w:w="3261" w:type="dxa"/>
          </w:tcPr>
          <w:p w:rsidR="005A37E7" w:rsidRDefault="00B3601E" w:rsidP="00AA5B74">
            <w:pPr>
              <w:jc w:val="center"/>
              <w:rPr>
                <w:b/>
              </w:rPr>
            </w:pPr>
            <w:r w:rsidRPr="008507F6">
              <w:rPr>
                <w:rFonts w:ascii="Arial" w:hAnsi="Arial" w:cs="Arial"/>
                <w:sz w:val="20"/>
                <w:szCs w:val="20"/>
              </w:rPr>
              <w:t>P. + CS</w:t>
            </w:r>
          </w:p>
        </w:tc>
        <w:tc>
          <w:tcPr>
            <w:tcW w:w="2835" w:type="dxa"/>
          </w:tcPr>
          <w:p w:rsidR="005A37E7" w:rsidRDefault="00734A65" w:rsidP="00302087">
            <w:pPr>
              <w:jc w:val="center"/>
              <w:rPr>
                <w:b/>
              </w:rPr>
            </w:pPr>
            <w:r>
              <w:rPr>
                <w:b/>
              </w:rPr>
              <w:t>X</w:t>
            </w:r>
          </w:p>
        </w:tc>
      </w:tr>
      <w:tr w:rsidR="005A37E7" w:rsidTr="00734A65">
        <w:tc>
          <w:tcPr>
            <w:tcW w:w="6912" w:type="dxa"/>
          </w:tcPr>
          <w:p w:rsidR="005A37E7" w:rsidRDefault="005A37E7" w:rsidP="00B223D9">
            <w:pPr>
              <w:rPr>
                <w:b/>
              </w:rPr>
            </w:pPr>
            <w:r w:rsidRPr="005A37E7">
              <w:rPr>
                <w:b/>
              </w:rPr>
              <w:t>Proposition d’appel de fonds auprès des associés</w:t>
            </w:r>
          </w:p>
        </w:tc>
        <w:tc>
          <w:tcPr>
            <w:tcW w:w="3261" w:type="dxa"/>
          </w:tcPr>
          <w:p w:rsidR="005A37E7" w:rsidRDefault="00B3601E" w:rsidP="00AA5B74">
            <w:pPr>
              <w:jc w:val="center"/>
              <w:rPr>
                <w:b/>
              </w:rPr>
            </w:pPr>
            <w:r w:rsidRPr="008507F6">
              <w:rPr>
                <w:rFonts w:ascii="Arial" w:hAnsi="Arial" w:cs="Arial"/>
                <w:sz w:val="20"/>
                <w:szCs w:val="20"/>
              </w:rPr>
              <w:t>P.</w:t>
            </w:r>
          </w:p>
        </w:tc>
        <w:tc>
          <w:tcPr>
            <w:tcW w:w="2835" w:type="dxa"/>
          </w:tcPr>
          <w:p w:rsidR="005A37E7" w:rsidRDefault="005A37E7" w:rsidP="00302087">
            <w:pPr>
              <w:jc w:val="center"/>
              <w:rPr>
                <w:b/>
              </w:rPr>
            </w:pPr>
          </w:p>
        </w:tc>
      </w:tr>
      <w:tr w:rsidR="005A37E7" w:rsidTr="00734A65">
        <w:tc>
          <w:tcPr>
            <w:tcW w:w="6912" w:type="dxa"/>
          </w:tcPr>
          <w:p w:rsidR="005A37E7" w:rsidRDefault="005A37E7" w:rsidP="00B223D9">
            <w:pPr>
              <w:rPr>
                <w:b/>
              </w:rPr>
            </w:pPr>
            <w:r w:rsidRPr="005A37E7">
              <w:rPr>
                <w:b/>
              </w:rPr>
              <w:t>Décision d’appel de fonds auprès des associés conformes aux conventions passées</w:t>
            </w:r>
          </w:p>
        </w:tc>
        <w:tc>
          <w:tcPr>
            <w:tcW w:w="3261" w:type="dxa"/>
          </w:tcPr>
          <w:p w:rsidR="005A37E7" w:rsidRDefault="00B3601E" w:rsidP="00AA5B74">
            <w:pPr>
              <w:jc w:val="center"/>
              <w:rPr>
                <w:b/>
              </w:rPr>
            </w:pPr>
            <w:r w:rsidRPr="008507F6">
              <w:rPr>
                <w:rFonts w:ascii="Arial" w:hAnsi="Arial" w:cs="Arial"/>
                <w:sz w:val="20"/>
                <w:szCs w:val="20"/>
              </w:rPr>
              <w:t>P.</w:t>
            </w:r>
          </w:p>
        </w:tc>
        <w:tc>
          <w:tcPr>
            <w:tcW w:w="2835" w:type="dxa"/>
          </w:tcPr>
          <w:p w:rsidR="005A37E7" w:rsidRDefault="005A37E7" w:rsidP="00302087">
            <w:pPr>
              <w:jc w:val="center"/>
              <w:rPr>
                <w:b/>
              </w:rPr>
            </w:pPr>
          </w:p>
        </w:tc>
      </w:tr>
      <w:tr w:rsidR="005A37E7" w:rsidTr="00734A65">
        <w:tc>
          <w:tcPr>
            <w:tcW w:w="6912" w:type="dxa"/>
          </w:tcPr>
          <w:p w:rsidR="005A37E7" w:rsidRDefault="005A37E7" w:rsidP="00B223D9">
            <w:pPr>
              <w:rPr>
                <w:b/>
              </w:rPr>
            </w:pPr>
            <w:r w:rsidRPr="005A37E7">
              <w:rPr>
                <w:b/>
              </w:rPr>
              <w:t>Décision d’appel de fonds auprès des associés dérogatoires aux conventions passées</w:t>
            </w:r>
          </w:p>
        </w:tc>
        <w:tc>
          <w:tcPr>
            <w:tcW w:w="3261" w:type="dxa"/>
          </w:tcPr>
          <w:p w:rsidR="005A37E7" w:rsidRDefault="00B3601E" w:rsidP="00AA5B74">
            <w:pPr>
              <w:jc w:val="center"/>
              <w:rPr>
                <w:b/>
              </w:rPr>
            </w:pPr>
            <w:r w:rsidRPr="008507F6">
              <w:rPr>
                <w:rFonts w:ascii="Arial" w:hAnsi="Arial" w:cs="Arial"/>
                <w:sz w:val="20"/>
                <w:szCs w:val="20"/>
              </w:rPr>
              <w:t>P. + CS</w:t>
            </w:r>
          </w:p>
        </w:tc>
        <w:tc>
          <w:tcPr>
            <w:tcW w:w="2835" w:type="dxa"/>
          </w:tcPr>
          <w:p w:rsidR="005A37E7" w:rsidRDefault="00734A65" w:rsidP="00302087">
            <w:pPr>
              <w:jc w:val="center"/>
              <w:rPr>
                <w:b/>
              </w:rPr>
            </w:pPr>
            <w:r>
              <w:rPr>
                <w:b/>
              </w:rPr>
              <w:t>X</w:t>
            </w:r>
          </w:p>
        </w:tc>
      </w:tr>
      <w:tr w:rsidR="005A37E7" w:rsidTr="00734A65">
        <w:tc>
          <w:tcPr>
            <w:tcW w:w="6912" w:type="dxa"/>
          </w:tcPr>
          <w:p w:rsidR="005A37E7" w:rsidRDefault="005A37E7" w:rsidP="00B223D9">
            <w:pPr>
              <w:rPr>
                <w:b/>
              </w:rPr>
            </w:pPr>
            <w:r w:rsidRPr="005A37E7">
              <w:rPr>
                <w:b/>
              </w:rPr>
              <w:lastRenderedPageBreak/>
              <w:t>Nomination, révocation, renouvellement ou rémunération du président du comité de surveillance</w:t>
            </w:r>
          </w:p>
        </w:tc>
        <w:tc>
          <w:tcPr>
            <w:tcW w:w="3261" w:type="dxa"/>
          </w:tcPr>
          <w:p w:rsidR="005A37E7" w:rsidRDefault="00B3601E" w:rsidP="00AA5B74">
            <w:pPr>
              <w:jc w:val="center"/>
              <w:rPr>
                <w:b/>
              </w:rPr>
            </w:pPr>
            <w:r w:rsidRPr="008507F6">
              <w:rPr>
                <w:rFonts w:ascii="Arial" w:hAnsi="Arial" w:cs="Arial"/>
                <w:sz w:val="20"/>
                <w:szCs w:val="20"/>
              </w:rPr>
              <w:t>CS</w:t>
            </w:r>
            <w:r w:rsidR="00B94F54">
              <w:rPr>
                <w:rStyle w:val="Appelnotedebasdep"/>
                <w:rFonts w:ascii="Arial" w:hAnsi="Arial" w:cs="Arial"/>
                <w:sz w:val="20"/>
                <w:szCs w:val="20"/>
              </w:rPr>
              <w:footnoteReference w:id="3"/>
            </w:r>
          </w:p>
        </w:tc>
        <w:tc>
          <w:tcPr>
            <w:tcW w:w="2835" w:type="dxa"/>
          </w:tcPr>
          <w:p w:rsidR="005A37E7" w:rsidRDefault="005A37E7" w:rsidP="00734A65">
            <w:pPr>
              <w:jc w:val="center"/>
              <w:rPr>
                <w:b/>
              </w:rPr>
            </w:pPr>
          </w:p>
        </w:tc>
      </w:tr>
      <w:tr w:rsidR="005A37E7" w:rsidTr="00734A65">
        <w:tc>
          <w:tcPr>
            <w:tcW w:w="6912" w:type="dxa"/>
          </w:tcPr>
          <w:p w:rsidR="005A37E7" w:rsidRDefault="005A37E7" w:rsidP="00B223D9">
            <w:pPr>
              <w:rPr>
                <w:b/>
              </w:rPr>
            </w:pPr>
            <w:r w:rsidRPr="005A37E7">
              <w:rPr>
                <w:b/>
              </w:rPr>
              <w:t>Nomination, révocation, renouvellement ou rémunération des DG</w:t>
            </w:r>
          </w:p>
        </w:tc>
        <w:tc>
          <w:tcPr>
            <w:tcW w:w="3261" w:type="dxa"/>
          </w:tcPr>
          <w:p w:rsidR="005A37E7" w:rsidRDefault="00B3601E" w:rsidP="00B94F54">
            <w:pPr>
              <w:jc w:val="center"/>
              <w:rPr>
                <w:b/>
              </w:rPr>
            </w:pPr>
            <w:r w:rsidRPr="008507F6">
              <w:rPr>
                <w:rFonts w:ascii="Arial" w:hAnsi="Arial" w:cs="Arial"/>
                <w:sz w:val="20"/>
                <w:szCs w:val="20"/>
              </w:rPr>
              <w:t>CS</w:t>
            </w:r>
          </w:p>
        </w:tc>
        <w:tc>
          <w:tcPr>
            <w:tcW w:w="2835" w:type="dxa"/>
          </w:tcPr>
          <w:p w:rsidR="005A37E7" w:rsidRDefault="005A37E7" w:rsidP="00734A65">
            <w:pPr>
              <w:jc w:val="center"/>
              <w:rPr>
                <w:b/>
              </w:rPr>
            </w:pPr>
          </w:p>
        </w:tc>
      </w:tr>
      <w:tr w:rsidR="005A37E7" w:rsidTr="00734A65">
        <w:tc>
          <w:tcPr>
            <w:tcW w:w="6912" w:type="dxa"/>
          </w:tcPr>
          <w:p w:rsidR="005A37E7" w:rsidRDefault="005A37E7" w:rsidP="00B223D9">
            <w:pPr>
              <w:rPr>
                <w:b/>
              </w:rPr>
            </w:pPr>
            <w:r w:rsidRPr="005A37E7">
              <w:rPr>
                <w:b/>
              </w:rPr>
              <w:t>Embauche ou licenciement de personnels dont la rémunération brute annuelle excède [●] euros/ an et/ou qui correspondent aux postes/fonctions suivantes : [●]</w:t>
            </w:r>
          </w:p>
        </w:tc>
        <w:tc>
          <w:tcPr>
            <w:tcW w:w="3261" w:type="dxa"/>
          </w:tcPr>
          <w:p w:rsidR="005A37E7" w:rsidRDefault="00B3601E" w:rsidP="00AA5B74">
            <w:pPr>
              <w:jc w:val="center"/>
              <w:rPr>
                <w:b/>
              </w:rPr>
            </w:pPr>
            <w:r w:rsidRPr="008507F6">
              <w:rPr>
                <w:rFonts w:ascii="Arial" w:hAnsi="Arial" w:cs="Arial"/>
                <w:sz w:val="20"/>
                <w:szCs w:val="20"/>
              </w:rPr>
              <w:t>P. + CS</w:t>
            </w:r>
          </w:p>
        </w:tc>
        <w:tc>
          <w:tcPr>
            <w:tcW w:w="2835" w:type="dxa"/>
          </w:tcPr>
          <w:p w:rsidR="005A37E7" w:rsidRDefault="005A37E7" w:rsidP="00734A65">
            <w:pPr>
              <w:jc w:val="center"/>
              <w:rPr>
                <w:b/>
              </w:rPr>
            </w:pPr>
          </w:p>
        </w:tc>
      </w:tr>
      <w:tr w:rsidR="005A37E7" w:rsidTr="00734A65">
        <w:tc>
          <w:tcPr>
            <w:tcW w:w="6912" w:type="dxa"/>
          </w:tcPr>
          <w:p w:rsidR="005A37E7" w:rsidRDefault="005A37E7" w:rsidP="00B223D9">
            <w:pPr>
              <w:rPr>
                <w:b/>
              </w:rPr>
            </w:pPr>
            <w:commentRangeStart w:id="58"/>
            <w:r w:rsidRPr="005A37E7">
              <w:rPr>
                <w:b/>
              </w:rPr>
              <w:t xml:space="preserve">Augmentation collective </w:t>
            </w:r>
            <w:commentRangeEnd w:id="58"/>
            <w:r w:rsidR="00F00852">
              <w:rPr>
                <w:rStyle w:val="Marquedecommentaire"/>
              </w:rPr>
              <w:commentReference w:id="58"/>
            </w:r>
            <w:r w:rsidRPr="005A37E7">
              <w:rPr>
                <w:b/>
              </w:rPr>
              <w:t>des rémunérations supérieure à x% de la masse salariale</w:t>
            </w:r>
          </w:p>
        </w:tc>
        <w:tc>
          <w:tcPr>
            <w:tcW w:w="3261" w:type="dxa"/>
          </w:tcPr>
          <w:p w:rsidR="005A37E7" w:rsidRDefault="00B3601E" w:rsidP="00AA5B74">
            <w:pPr>
              <w:jc w:val="center"/>
              <w:rPr>
                <w:b/>
              </w:rPr>
            </w:pPr>
            <w:r w:rsidRPr="008507F6">
              <w:rPr>
                <w:rFonts w:ascii="Arial" w:hAnsi="Arial" w:cs="Arial"/>
                <w:sz w:val="20"/>
                <w:szCs w:val="20"/>
              </w:rPr>
              <w:t>P. + CS</w:t>
            </w:r>
          </w:p>
        </w:tc>
        <w:tc>
          <w:tcPr>
            <w:tcW w:w="2835" w:type="dxa"/>
          </w:tcPr>
          <w:p w:rsidR="005A37E7" w:rsidRDefault="005A37E7" w:rsidP="00734A65">
            <w:pPr>
              <w:jc w:val="center"/>
              <w:rPr>
                <w:b/>
              </w:rPr>
            </w:pPr>
          </w:p>
        </w:tc>
      </w:tr>
      <w:tr w:rsidR="005A37E7" w:rsidTr="00734A65">
        <w:tc>
          <w:tcPr>
            <w:tcW w:w="6912" w:type="dxa"/>
          </w:tcPr>
          <w:p w:rsidR="005A37E7" w:rsidRDefault="005A37E7" w:rsidP="00B223D9">
            <w:pPr>
              <w:rPr>
                <w:b/>
              </w:rPr>
            </w:pPr>
            <w:r w:rsidRPr="005A37E7">
              <w:rPr>
                <w:b/>
              </w:rPr>
              <w:t>Licenciement collectif (au sens du code du travail)</w:t>
            </w:r>
          </w:p>
        </w:tc>
        <w:tc>
          <w:tcPr>
            <w:tcW w:w="3261" w:type="dxa"/>
          </w:tcPr>
          <w:p w:rsidR="005A37E7" w:rsidRDefault="00B3601E" w:rsidP="00AA5B74">
            <w:pPr>
              <w:jc w:val="center"/>
              <w:rPr>
                <w:b/>
              </w:rPr>
            </w:pPr>
            <w:r w:rsidRPr="008507F6">
              <w:rPr>
                <w:rFonts w:ascii="Arial" w:hAnsi="Arial" w:cs="Arial"/>
                <w:sz w:val="20"/>
                <w:szCs w:val="20"/>
              </w:rPr>
              <w:t>P. + CS</w:t>
            </w:r>
          </w:p>
        </w:tc>
        <w:tc>
          <w:tcPr>
            <w:tcW w:w="2835" w:type="dxa"/>
          </w:tcPr>
          <w:p w:rsidR="005A37E7" w:rsidRDefault="005A37E7" w:rsidP="00734A65">
            <w:pPr>
              <w:jc w:val="center"/>
              <w:rPr>
                <w:b/>
              </w:rPr>
            </w:pPr>
          </w:p>
        </w:tc>
      </w:tr>
      <w:tr w:rsidR="005A37E7" w:rsidTr="00734A65">
        <w:tc>
          <w:tcPr>
            <w:tcW w:w="6912" w:type="dxa"/>
          </w:tcPr>
          <w:p w:rsidR="005A37E7" w:rsidRDefault="005A37E7" w:rsidP="00B223D9">
            <w:pPr>
              <w:rPr>
                <w:b/>
              </w:rPr>
            </w:pPr>
            <w:r w:rsidRPr="005A37E7">
              <w:rPr>
                <w:b/>
              </w:rPr>
              <w:t xml:space="preserve">Nomination d’un </w:t>
            </w:r>
            <w:proofErr w:type="spellStart"/>
            <w:r w:rsidRPr="005A37E7">
              <w:rPr>
                <w:b/>
              </w:rPr>
              <w:t>co</w:t>
            </w:r>
            <w:proofErr w:type="spellEnd"/>
            <w:r w:rsidRPr="005A37E7">
              <w:rPr>
                <w:b/>
              </w:rPr>
              <w:t>-commissaire aux comptes (demande de l’ADEME)</w:t>
            </w:r>
          </w:p>
        </w:tc>
        <w:tc>
          <w:tcPr>
            <w:tcW w:w="3261" w:type="dxa"/>
          </w:tcPr>
          <w:p w:rsidR="005A37E7" w:rsidRDefault="00B3601E" w:rsidP="00AA5B74">
            <w:pPr>
              <w:jc w:val="center"/>
              <w:rPr>
                <w:b/>
              </w:rPr>
            </w:pPr>
            <w:r w:rsidRPr="008507F6">
              <w:rPr>
                <w:rFonts w:ascii="Arial" w:hAnsi="Arial" w:cs="Arial"/>
                <w:sz w:val="20"/>
                <w:szCs w:val="20"/>
              </w:rPr>
              <w:t>P. + CS</w:t>
            </w:r>
          </w:p>
        </w:tc>
        <w:tc>
          <w:tcPr>
            <w:tcW w:w="2835" w:type="dxa"/>
          </w:tcPr>
          <w:p w:rsidR="005A37E7" w:rsidRDefault="005A37E7" w:rsidP="00734A65">
            <w:pPr>
              <w:jc w:val="center"/>
              <w:rPr>
                <w:b/>
              </w:rPr>
            </w:pPr>
          </w:p>
        </w:tc>
      </w:tr>
      <w:tr w:rsidR="005A37E7" w:rsidTr="00734A65">
        <w:tc>
          <w:tcPr>
            <w:tcW w:w="6912" w:type="dxa"/>
          </w:tcPr>
          <w:p w:rsidR="005A37E7" w:rsidRDefault="005A37E7" w:rsidP="00B223D9">
            <w:pPr>
              <w:rPr>
                <w:b/>
              </w:rPr>
            </w:pPr>
            <w:commentRangeStart w:id="59"/>
            <w:r w:rsidRPr="005A37E7">
              <w:rPr>
                <w:b/>
              </w:rPr>
              <w:t>Engagement de toute dépense d’investissement supérieure à 500 000€ et inférieure à 5M€</w:t>
            </w:r>
            <w:commentRangeEnd w:id="59"/>
            <w:r w:rsidR="00F00852">
              <w:rPr>
                <w:rStyle w:val="Marquedecommentaire"/>
              </w:rPr>
              <w:commentReference w:id="59"/>
            </w:r>
          </w:p>
        </w:tc>
        <w:tc>
          <w:tcPr>
            <w:tcW w:w="3261" w:type="dxa"/>
          </w:tcPr>
          <w:p w:rsidR="005A37E7" w:rsidRDefault="00B3601E" w:rsidP="00AA5B74">
            <w:pPr>
              <w:jc w:val="center"/>
              <w:rPr>
                <w:b/>
              </w:rPr>
            </w:pPr>
            <w:r w:rsidRPr="008507F6">
              <w:rPr>
                <w:rFonts w:ascii="Arial" w:hAnsi="Arial" w:cs="Arial"/>
                <w:sz w:val="20"/>
                <w:szCs w:val="20"/>
              </w:rPr>
              <w:t>P. + CS</w:t>
            </w:r>
          </w:p>
        </w:tc>
        <w:tc>
          <w:tcPr>
            <w:tcW w:w="2835" w:type="dxa"/>
          </w:tcPr>
          <w:p w:rsidR="005A37E7" w:rsidRDefault="005A37E7" w:rsidP="00734A65">
            <w:pPr>
              <w:jc w:val="center"/>
              <w:rPr>
                <w:b/>
              </w:rPr>
            </w:pPr>
          </w:p>
        </w:tc>
      </w:tr>
      <w:tr w:rsidR="005A37E7" w:rsidTr="00734A65">
        <w:tc>
          <w:tcPr>
            <w:tcW w:w="6912" w:type="dxa"/>
          </w:tcPr>
          <w:p w:rsidR="005A37E7" w:rsidRDefault="005A37E7" w:rsidP="00B223D9">
            <w:pPr>
              <w:rPr>
                <w:b/>
              </w:rPr>
            </w:pPr>
            <w:commentRangeStart w:id="60"/>
            <w:r w:rsidRPr="005A37E7">
              <w:rPr>
                <w:b/>
              </w:rPr>
              <w:t>Engagement de toute dépense d’investissement supérieure à 5M€</w:t>
            </w:r>
            <w:commentRangeEnd w:id="60"/>
            <w:r w:rsidR="00F00852">
              <w:rPr>
                <w:rStyle w:val="Marquedecommentaire"/>
              </w:rPr>
              <w:commentReference w:id="60"/>
            </w:r>
          </w:p>
        </w:tc>
        <w:tc>
          <w:tcPr>
            <w:tcW w:w="3261" w:type="dxa"/>
          </w:tcPr>
          <w:p w:rsidR="005A37E7" w:rsidRDefault="00B3601E" w:rsidP="00AA5B74">
            <w:pPr>
              <w:jc w:val="center"/>
              <w:rPr>
                <w:b/>
              </w:rPr>
            </w:pPr>
            <w:r w:rsidRPr="008507F6">
              <w:rPr>
                <w:rFonts w:ascii="Arial" w:hAnsi="Arial" w:cs="Arial"/>
                <w:sz w:val="20"/>
                <w:szCs w:val="20"/>
              </w:rPr>
              <w:t>P. + CS</w:t>
            </w:r>
          </w:p>
        </w:tc>
        <w:tc>
          <w:tcPr>
            <w:tcW w:w="2835" w:type="dxa"/>
          </w:tcPr>
          <w:p w:rsidR="005A37E7" w:rsidRDefault="00734A65" w:rsidP="00734A65">
            <w:pPr>
              <w:jc w:val="center"/>
              <w:rPr>
                <w:b/>
              </w:rPr>
            </w:pPr>
            <w:r>
              <w:rPr>
                <w:b/>
              </w:rPr>
              <w:t>X</w:t>
            </w:r>
          </w:p>
        </w:tc>
      </w:tr>
      <w:tr w:rsidR="005A37E7" w:rsidTr="00734A65">
        <w:tc>
          <w:tcPr>
            <w:tcW w:w="6912" w:type="dxa"/>
          </w:tcPr>
          <w:p w:rsidR="005A37E7" w:rsidRDefault="005A37E7" w:rsidP="00B223D9">
            <w:pPr>
              <w:rPr>
                <w:b/>
              </w:rPr>
            </w:pPr>
            <w:r w:rsidRPr="005A37E7">
              <w:rPr>
                <w:b/>
              </w:rPr>
              <w:t>Les conventions emportant caution, aval ou garantie, hypothèque ou nantissement inférieures à 5M€</w:t>
            </w:r>
          </w:p>
        </w:tc>
        <w:tc>
          <w:tcPr>
            <w:tcW w:w="3261" w:type="dxa"/>
          </w:tcPr>
          <w:p w:rsidR="005A37E7" w:rsidRDefault="00B3601E" w:rsidP="00AA5B74">
            <w:pPr>
              <w:jc w:val="center"/>
              <w:rPr>
                <w:b/>
              </w:rPr>
            </w:pPr>
            <w:r w:rsidRPr="008507F6">
              <w:rPr>
                <w:rFonts w:ascii="Arial" w:hAnsi="Arial" w:cs="Arial"/>
                <w:sz w:val="20"/>
                <w:szCs w:val="20"/>
              </w:rPr>
              <w:t>P. + CS</w:t>
            </w:r>
          </w:p>
        </w:tc>
        <w:tc>
          <w:tcPr>
            <w:tcW w:w="2835" w:type="dxa"/>
          </w:tcPr>
          <w:p w:rsidR="005A37E7" w:rsidRDefault="005A37E7" w:rsidP="00734A65">
            <w:pPr>
              <w:jc w:val="center"/>
              <w:rPr>
                <w:b/>
              </w:rPr>
            </w:pPr>
          </w:p>
        </w:tc>
      </w:tr>
      <w:tr w:rsidR="005A37E7" w:rsidTr="00734A65">
        <w:tc>
          <w:tcPr>
            <w:tcW w:w="6912" w:type="dxa"/>
          </w:tcPr>
          <w:p w:rsidR="005A37E7" w:rsidRDefault="005A37E7" w:rsidP="00B223D9">
            <w:pPr>
              <w:rPr>
                <w:b/>
              </w:rPr>
            </w:pPr>
            <w:r w:rsidRPr="005A37E7">
              <w:rPr>
                <w:b/>
              </w:rPr>
              <w:t>Les conventions emportant caution, aval ou garantie, hypothèque ou nantissement supérieures à 5M€</w:t>
            </w:r>
          </w:p>
        </w:tc>
        <w:tc>
          <w:tcPr>
            <w:tcW w:w="3261" w:type="dxa"/>
          </w:tcPr>
          <w:p w:rsidR="005A37E7" w:rsidRDefault="00B3601E" w:rsidP="00AA5B74">
            <w:pPr>
              <w:jc w:val="center"/>
              <w:rPr>
                <w:b/>
              </w:rPr>
            </w:pPr>
            <w:r w:rsidRPr="008507F6">
              <w:rPr>
                <w:rFonts w:ascii="Arial" w:hAnsi="Arial" w:cs="Arial"/>
                <w:sz w:val="20"/>
                <w:szCs w:val="20"/>
              </w:rPr>
              <w:t>P. + CS</w:t>
            </w:r>
          </w:p>
        </w:tc>
        <w:tc>
          <w:tcPr>
            <w:tcW w:w="2835" w:type="dxa"/>
          </w:tcPr>
          <w:p w:rsidR="005A37E7" w:rsidRDefault="00734A65" w:rsidP="00734A65">
            <w:pPr>
              <w:jc w:val="center"/>
              <w:rPr>
                <w:b/>
              </w:rPr>
            </w:pPr>
            <w:r>
              <w:rPr>
                <w:b/>
              </w:rPr>
              <w:t>X</w:t>
            </w:r>
          </w:p>
        </w:tc>
      </w:tr>
      <w:tr w:rsidR="005A37E7" w:rsidTr="00734A65">
        <w:tc>
          <w:tcPr>
            <w:tcW w:w="6912" w:type="dxa"/>
          </w:tcPr>
          <w:p w:rsidR="005A37E7" w:rsidRDefault="005A37E7" w:rsidP="00B223D9">
            <w:pPr>
              <w:rPr>
                <w:b/>
              </w:rPr>
            </w:pPr>
            <w:commentRangeStart w:id="61"/>
            <w:r w:rsidRPr="005A37E7">
              <w:rPr>
                <w:b/>
              </w:rPr>
              <w:t>Emprunt non budgété supérieur à 100 000€</w:t>
            </w:r>
            <w:commentRangeEnd w:id="61"/>
            <w:r w:rsidR="006519F8">
              <w:rPr>
                <w:rStyle w:val="Marquedecommentaire"/>
              </w:rPr>
              <w:commentReference w:id="61"/>
            </w:r>
          </w:p>
        </w:tc>
        <w:tc>
          <w:tcPr>
            <w:tcW w:w="3261" w:type="dxa"/>
          </w:tcPr>
          <w:p w:rsidR="005A37E7" w:rsidRDefault="00B3601E" w:rsidP="00AA5B74">
            <w:pPr>
              <w:jc w:val="center"/>
              <w:rPr>
                <w:b/>
              </w:rPr>
            </w:pPr>
            <w:r w:rsidRPr="008507F6">
              <w:rPr>
                <w:rFonts w:ascii="Arial" w:hAnsi="Arial" w:cs="Arial"/>
                <w:sz w:val="20"/>
                <w:szCs w:val="20"/>
              </w:rPr>
              <w:t>P. + CS</w:t>
            </w:r>
          </w:p>
        </w:tc>
        <w:tc>
          <w:tcPr>
            <w:tcW w:w="2835" w:type="dxa"/>
          </w:tcPr>
          <w:p w:rsidR="005A37E7" w:rsidRDefault="005A37E7" w:rsidP="00734A65">
            <w:pPr>
              <w:jc w:val="center"/>
              <w:rPr>
                <w:b/>
              </w:rPr>
            </w:pPr>
          </w:p>
        </w:tc>
      </w:tr>
      <w:tr w:rsidR="005A37E7" w:rsidTr="00734A65">
        <w:tc>
          <w:tcPr>
            <w:tcW w:w="6912" w:type="dxa"/>
          </w:tcPr>
          <w:p w:rsidR="005A37E7" w:rsidRDefault="005A73C5" w:rsidP="00302087">
            <w:pPr>
              <w:keepNext/>
              <w:rPr>
                <w:b/>
              </w:rPr>
            </w:pPr>
            <w:r w:rsidRPr="005A73C5">
              <w:rPr>
                <w:b/>
              </w:rPr>
              <w:lastRenderedPageBreak/>
              <w:t>Validation des Contrats Importants (contrats UKTMP/</w:t>
            </w:r>
            <w:proofErr w:type="spellStart"/>
            <w:r w:rsidRPr="005A73C5">
              <w:rPr>
                <w:b/>
              </w:rPr>
              <w:t>Ardor</w:t>
            </w:r>
            <w:proofErr w:type="spellEnd"/>
            <w:r w:rsidRPr="005A73C5">
              <w:rPr>
                <w:b/>
              </w:rPr>
              <w:t xml:space="preserve">, contrats UKAD, contrats A&amp;D, </w:t>
            </w:r>
            <w:commentRangeStart w:id="62"/>
            <w:r w:rsidRPr="005A73C5">
              <w:rPr>
                <w:b/>
              </w:rPr>
              <w:t>contrat en économie circulaire)</w:t>
            </w:r>
            <w:commentRangeEnd w:id="62"/>
            <w:r w:rsidR="00042808">
              <w:rPr>
                <w:rStyle w:val="Marquedecommentaire"/>
              </w:rPr>
              <w:commentReference w:id="62"/>
            </w:r>
          </w:p>
        </w:tc>
        <w:tc>
          <w:tcPr>
            <w:tcW w:w="3261" w:type="dxa"/>
          </w:tcPr>
          <w:p w:rsidR="005A37E7" w:rsidRDefault="00734A65" w:rsidP="00302087">
            <w:pPr>
              <w:keepNext/>
              <w:jc w:val="center"/>
              <w:rPr>
                <w:b/>
              </w:rPr>
            </w:pPr>
            <w:r w:rsidRPr="008507F6">
              <w:rPr>
                <w:rFonts w:ascii="Arial" w:hAnsi="Arial" w:cs="Arial"/>
                <w:sz w:val="20"/>
                <w:szCs w:val="20"/>
              </w:rPr>
              <w:t>P. + CS</w:t>
            </w:r>
            <w:r w:rsidR="00302087">
              <w:rPr>
                <w:rStyle w:val="Appelnotedebasdep"/>
                <w:rFonts w:ascii="Arial" w:hAnsi="Arial" w:cs="Arial"/>
                <w:sz w:val="20"/>
                <w:szCs w:val="20"/>
              </w:rPr>
              <w:footnoteReference w:id="4"/>
            </w:r>
          </w:p>
        </w:tc>
        <w:tc>
          <w:tcPr>
            <w:tcW w:w="2835" w:type="dxa"/>
          </w:tcPr>
          <w:p w:rsidR="005A37E7" w:rsidRDefault="00734A65" w:rsidP="00302087">
            <w:pPr>
              <w:keepNext/>
              <w:jc w:val="center"/>
              <w:rPr>
                <w:b/>
              </w:rPr>
            </w:pPr>
            <w:r>
              <w:rPr>
                <w:b/>
              </w:rPr>
              <w:t>X</w:t>
            </w:r>
          </w:p>
        </w:tc>
      </w:tr>
      <w:tr w:rsidR="005A37E7" w:rsidTr="00734A65">
        <w:tc>
          <w:tcPr>
            <w:tcW w:w="6912" w:type="dxa"/>
          </w:tcPr>
          <w:p w:rsidR="005A37E7" w:rsidRDefault="005A73C5" w:rsidP="00B223D9">
            <w:pPr>
              <w:rPr>
                <w:b/>
              </w:rPr>
            </w:pPr>
            <w:r w:rsidRPr="005A73C5">
              <w:rPr>
                <w:b/>
              </w:rPr>
              <w:t>Modification des droits et obligations des Contrats Importants (contrats UKTMP/</w:t>
            </w:r>
            <w:proofErr w:type="spellStart"/>
            <w:r w:rsidRPr="005A73C5">
              <w:rPr>
                <w:b/>
              </w:rPr>
              <w:t>Ardor</w:t>
            </w:r>
            <w:proofErr w:type="spellEnd"/>
            <w:r w:rsidRPr="005A73C5">
              <w:rPr>
                <w:b/>
              </w:rPr>
              <w:t xml:space="preserve">, contrats UKAD, contrats A&amp;D, </w:t>
            </w:r>
            <w:commentRangeStart w:id="63"/>
            <w:r w:rsidRPr="005A73C5">
              <w:rPr>
                <w:b/>
              </w:rPr>
              <w:t>contrat en économie circulaire</w:t>
            </w:r>
            <w:commentRangeEnd w:id="63"/>
            <w:r w:rsidR="00042808">
              <w:rPr>
                <w:rStyle w:val="Marquedecommentaire"/>
              </w:rPr>
              <w:commentReference w:id="63"/>
            </w:r>
            <w:r w:rsidRPr="005A73C5">
              <w:rPr>
                <w:b/>
              </w:rPr>
              <w:t>) et résiliation</w:t>
            </w:r>
          </w:p>
        </w:tc>
        <w:tc>
          <w:tcPr>
            <w:tcW w:w="3261" w:type="dxa"/>
          </w:tcPr>
          <w:p w:rsidR="005A37E7" w:rsidRDefault="00734A65" w:rsidP="00AA5B74">
            <w:pPr>
              <w:jc w:val="center"/>
              <w:rPr>
                <w:b/>
              </w:rPr>
            </w:pPr>
            <w:r w:rsidRPr="008507F6">
              <w:rPr>
                <w:rFonts w:ascii="Arial" w:hAnsi="Arial" w:cs="Arial"/>
                <w:sz w:val="20"/>
                <w:szCs w:val="20"/>
              </w:rPr>
              <w:t>P. + CS</w:t>
            </w:r>
            <w:r w:rsidR="00302087">
              <w:rPr>
                <w:rStyle w:val="Appelnotedebasdep"/>
                <w:rFonts w:ascii="Arial" w:hAnsi="Arial" w:cs="Arial"/>
                <w:sz w:val="20"/>
                <w:szCs w:val="20"/>
              </w:rPr>
              <w:footnoteReference w:id="5"/>
            </w:r>
          </w:p>
        </w:tc>
        <w:tc>
          <w:tcPr>
            <w:tcW w:w="2835" w:type="dxa"/>
          </w:tcPr>
          <w:p w:rsidR="005A37E7" w:rsidRDefault="00734A65" w:rsidP="00734A65">
            <w:pPr>
              <w:jc w:val="center"/>
              <w:rPr>
                <w:b/>
              </w:rPr>
            </w:pPr>
            <w:r>
              <w:rPr>
                <w:b/>
              </w:rPr>
              <w:t>X</w:t>
            </w:r>
          </w:p>
        </w:tc>
      </w:tr>
      <w:tr w:rsidR="005A37E7" w:rsidTr="00734A65">
        <w:tc>
          <w:tcPr>
            <w:tcW w:w="6912" w:type="dxa"/>
          </w:tcPr>
          <w:p w:rsidR="005A37E7" w:rsidRPr="00AA5B74" w:rsidRDefault="005A73C5" w:rsidP="00302087">
            <w:pPr>
              <w:rPr>
                <w:b/>
              </w:rPr>
            </w:pPr>
            <w:r w:rsidRPr="00AA5B74">
              <w:rPr>
                <w:b/>
              </w:rPr>
              <w:t>Validation ou modifications des conventions réglementées</w:t>
            </w:r>
          </w:p>
        </w:tc>
        <w:tc>
          <w:tcPr>
            <w:tcW w:w="3261" w:type="dxa"/>
          </w:tcPr>
          <w:p w:rsidR="005A37E7" w:rsidRDefault="00B3601E" w:rsidP="00AA5B74">
            <w:pPr>
              <w:jc w:val="center"/>
              <w:rPr>
                <w:b/>
              </w:rPr>
            </w:pPr>
            <w:r>
              <w:rPr>
                <w:rFonts w:ascii="Arial" w:hAnsi="Arial" w:cs="Arial"/>
                <w:sz w:val="20"/>
                <w:szCs w:val="20"/>
              </w:rPr>
              <w:t>P+CS</w:t>
            </w:r>
            <w:r>
              <w:rPr>
                <w:rStyle w:val="Appelnotedebasdep"/>
                <w:rFonts w:ascii="Arial" w:hAnsi="Arial" w:cs="Arial"/>
                <w:sz w:val="20"/>
                <w:szCs w:val="20"/>
              </w:rPr>
              <w:footnoteReference w:id="6"/>
            </w:r>
          </w:p>
        </w:tc>
        <w:tc>
          <w:tcPr>
            <w:tcW w:w="2835" w:type="dxa"/>
          </w:tcPr>
          <w:p w:rsidR="005A37E7" w:rsidRDefault="00734A65" w:rsidP="00734A65">
            <w:pPr>
              <w:jc w:val="center"/>
              <w:rPr>
                <w:b/>
              </w:rPr>
            </w:pPr>
            <w:r>
              <w:rPr>
                <w:b/>
              </w:rPr>
              <w:t>X</w:t>
            </w:r>
          </w:p>
        </w:tc>
      </w:tr>
      <w:tr w:rsidR="005A37E7" w:rsidRPr="00AA5B74" w:rsidTr="00734A65">
        <w:tc>
          <w:tcPr>
            <w:tcW w:w="6912" w:type="dxa"/>
          </w:tcPr>
          <w:p w:rsidR="005A37E7" w:rsidRPr="00AA5B74" w:rsidRDefault="00AA5B74" w:rsidP="00302087">
            <w:pPr>
              <w:rPr>
                <w:b/>
              </w:rPr>
            </w:pPr>
            <w:r w:rsidRPr="00302087">
              <w:rPr>
                <w:b/>
              </w:rPr>
              <w:t>Établissement du Plan Stratégique</w:t>
            </w:r>
            <w:r w:rsidR="00302087">
              <w:rPr>
                <w:b/>
              </w:rPr>
              <w:t xml:space="preserve"> </w:t>
            </w:r>
            <w:r w:rsidR="00302087">
              <w:rPr>
                <w:rStyle w:val="Appelnotedebasdep"/>
                <w:b/>
              </w:rPr>
              <w:footnoteReference w:id="7"/>
            </w:r>
            <w:r w:rsidRPr="00302087">
              <w:rPr>
                <w:b/>
              </w:rPr>
              <w:t xml:space="preserve"> (plan à 3 ans)</w:t>
            </w:r>
          </w:p>
        </w:tc>
        <w:tc>
          <w:tcPr>
            <w:tcW w:w="3261" w:type="dxa"/>
          </w:tcPr>
          <w:p w:rsidR="005A37E7" w:rsidRPr="00AA5B74" w:rsidRDefault="00B3601E" w:rsidP="00AA5B74">
            <w:pPr>
              <w:jc w:val="center"/>
              <w:rPr>
                <w:b/>
              </w:rPr>
            </w:pPr>
            <w:r>
              <w:rPr>
                <w:b/>
              </w:rPr>
              <w:t>P.</w:t>
            </w:r>
          </w:p>
        </w:tc>
        <w:tc>
          <w:tcPr>
            <w:tcW w:w="2835" w:type="dxa"/>
          </w:tcPr>
          <w:p w:rsidR="005A37E7" w:rsidRPr="00AA5B74" w:rsidRDefault="005A37E7" w:rsidP="00734A65">
            <w:pPr>
              <w:jc w:val="center"/>
              <w:rPr>
                <w:b/>
              </w:rPr>
            </w:pPr>
          </w:p>
        </w:tc>
      </w:tr>
      <w:tr w:rsidR="005A37E7" w:rsidTr="00734A65">
        <w:tc>
          <w:tcPr>
            <w:tcW w:w="6912" w:type="dxa"/>
          </w:tcPr>
          <w:p w:rsidR="005A37E7" w:rsidRDefault="00AA5B74" w:rsidP="00B223D9">
            <w:pPr>
              <w:rPr>
                <w:b/>
              </w:rPr>
            </w:pPr>
            <w:r w:rsidRPr="00302087">
              <w:rPr>
                <w:b/>
              </w:rPr>
              <w:t>Approbation du Plan Stratégique</w:t>
            </w:r>
          </w:p>
        </w:tc>
        <w:tc>
          <w:tcPr>
            <w:tcW w:w="3261" w:type="dxa"/>
          </w:tcPr>
          <w:p w:rsidR="005A37E7" w:rsidRDefault="00B3601E" w:rsidP="00AA5B74">
            <w:pPr>
              <w:jc w:val="center"/>
              <w:rPr>
                <w:b/>
              </w:rPr>
            </w:pPr>
            <w:r>
              <w:rPr>
                <w:b/>
              </w:rPr>
              <w:t>CS</w:t>
            </w:r>
          </w:p>
        </w:tc>
        <w:tc>
          <w:tcPr>
            <w:tcW w:w="2835" w:type="dxa"/>
          </w:tcPr>
          <w:p w:rsidR="005A37E7" w:rsidRDefault="005A37E7" w:rsidP="00734A65">
            <w:pPr>
              <w:jc w:val="center"/>
              <w:rPr>
                <w:b/>
              </w:rPr>
            </w:pPr>
          </w:p>
        </w:tc>
      </w:tr>
      <w:tr w:rsidR="005A37E7" w:rsidTr="00734A65">
        <w:tc>
          <w:tcPr>
            <w:tcW w:w="6912" w:type="dxa"/>
          </w:tcPr>
          <w:p w:rsidR="005A37E7" w:rsidRDefault="00AA5B74" w:rsidP="00B223D9">
            <w:pPr>
              <w:rPr>
                <w:b/>
              </w:rPr>
            </w:pPr>
            <w:r w:rsidRPr="00302087">
              <w:rPr>
                <w:b/>
              </w:rPr>
              <w:t>Modification du Plan Stratégique</w:t>
            </w:r>
          </w:p>
        </w:tc>
        <w:tc>
          <w:tcPr>
            <w:tcW w:w="3261" w:type="dxa"/>
          </w:tcPr>
          <w:p w:rsidR="005A37E7" w:rsidRDefault="00B3601E" w:rsidP="00AA5B74">
            <w:pPr>
              <w:jc w:val="center"/>
              <w:rPr>
                <w:b/>
              </w:rPr>
            </w:pPr>
            <w:r>
              <w:rPr>
                <w:b/>
              </w:rPr>
              <w:t>CS</w:t>
            </w:r>
          </w:p>
        </w:tc>
        <w:tc>
          <w:tcPr>
            <w:tcW w:w="2835" w:type="dxa"/>
          </w:tcPr>
          <w:p w:rsidR="005A37E7" w:rsidRDefault="005A37E7" w:rsidP="00734A65">
            <w:pPr>
              <w:jc w:val="center"/>
              <w:rPr>
                <w:b/>
              </w:rPr>
            </w:pPr>
          </w:p>
        </w:tc>
      </w:tr>
      <w:tr w:rsidR="005A37E7" w:rsidTr="00734A65">
        <w:tc>
          <w:tcPr>
            <w:tcW w:w="6912" w:type="dxa"/>
          </w:tcPr>
          <w:p w:rsidR="005A37E7" w:rsidRDefault="00AA5B74" w:rsidP="00B223D9">
            <w:pPr>
              <w:rPr>
                <w:b/>
              </w:rPr>
            </w:pPr>
            <w:r w:rsidRPr="00302087">
              <w:rPr>
                <w:b/>
              </w:rPr>
              <w:t>Établissement du budget annuel</w:t>
            </w:r>
          </w:p>
        </w:tc>
        <w:tc>
          <w:tcPr>
            <w:tcW w:w="3261" w:type="dxa"/>
          </w:tcPr>
          <w:p w:rsidR="005A37E7" w:rsidRDefault="00B3601E" w:rsidP="00AA5B74">
            <w:pPr>
              <w:jc w:val="center"/>
              <w:rPr>
                <w:b/>
              </w:rPr>
            </w:pPr>
            <w:r>
              <w:rPr>
                <w:b/>
              </w:rPr>
              <w:t>P.</w:t>
            </w:r>
          </w:p>
        </w:tc>
        <w:tc>
          <w:tcPr>
            <w:tcW w:w="2835" w:type="dxa"/>
          </w:tcPr>
          <w:p w:rsidR="005A37E7" w:rsidRDefault="005A37E7" w:rsidP="00734A65">
            <w:pPr>
              <w:jc w:val="center"/>
              <w:rPr>
                <w:b/>
              </w:rPr>
            </w:pPr>
          </w:p>
        </w:tc>
      </w:tr>
      <w:tr w:rsidR="005A37E7" w:rsidTr="00734A65">
        <w:tc>
          <w:tcPr>
            <w:tcW w:w="6912" w:type="dxa"/>
          </w:tcPr>
          <w:p w:rsidR="005A37E7" w:rsidRDefault="00AA5B74" w:rsidP="00B223D9">
            <w:pPr>
              <w:rPr>
                <w:b/>
              </w:rPr>
            </w:pPr>
            <w:r w:rsidRPr="00302087">
              <w:rPr>
                <w:b/>
              </w:rPr>
              <w:t>Approbation du budget annuel</w:t>
            </w:r>
          </w:p>
        </w:tc>
        <w:tc>
          <w:tcPr>
            <w:tcW w:w="3261" w:type="dxa"/>
          </w:tcPr>
          <w:p w:rsidR="005A37E7" w:rsidRDefault="00B3601E" w:rsidP="00AA5B74">
            <w:pPr>
              <w:jc w:val="center"/>
              <w:rPr>
                <w:b/>
              </w:rPr>
            </w:pPr>
            <w:r>
              <w:rPr>
                <w:b/>
              </w:rPr>
              <w:t>CS</w:t>
            </w:r>
          </w:p>
        </w:tc>
        <w:tc>
          <w:tcPr>
            <w:tcW w:w="2835" w:type="dxa"/>
          </w:tcPr>
          <w:p w:rsidR="005A37E7" w:rsidRDefault="00734A65" w:rsidP="00734A65">
            <w:pPr>
              <w:jc w:val="center"/>
              <w:rPr>
                <w:b/>
              </w:rPr>
            </w:pPr>
            <w:r>
              <w:rPr>
                <w:b/>
              </w:rPr>
              <w:t>X</w:t>
            </w:r>
          </w:p>
        </w:tc>
      </w:tr>
      <w:tr w:rsidR="005A37E7" w:rsidTr="00734A65">
        <w:tc>
          <w:tcPr>
            <w:tcW w:w="6912" w:type="dxa"/>
          </w:tcPr>
          <w:p w:rsidR="005A37E7" w:rsidRDefault="00AA5B74" w:rsidP="00B223D9">
            <w:pPr>
              <w:rPr>
                <w:b/>
              </w:rPr>
            </w:pPr>
            <w:r w:rsidRPr="00302087">
              <w:rPr>
                <w:b/>
              </w:rPr>
              <w:t>Modification du budget annuel</w:t>
            </w:r>
          </w:p>
        </w:tc>
        <w:tc>
          <w:tcPr>
            <w:tcW w:w="3261" w:type="dxa"/>
          </w:tcPr>
          <w:p w:rsidR="005A37E7" w:rsidRDefault="00B3601E" w:rsidP="00AA5B74">
            <w:pPr>
              <w:jc w:val="center"/>
              <w:rPr>
                <w:b/>
              </w:rPr>
            </w:pPr>
            <w:r>
              <w:rPr>
                <w:b/>
              </w:rPr>
              <w:t>P. + CS</w:t>
            </w:r>
          </w:p>
        </w:tc>
        <w:tc>
          <w:tcPr>
            <w:tcW w:w="2835" w:type="dxa"/>
          </w:tcPr>
          <w:p w:rsidR="005A37E7" w:rsidRDefault="00734A65" w:rsidP="00734A65">
            <w:pPr>
              <w:jc w:val="center"/>
              <w:rPr>
                <w:b/>
              </w:rPr>
            </w:pPr>
            <w:r>
              <w:rPr>
                <w:b/>
              </w:rPr>
              <w:t>X</w:t>
            </w:r>
          </w:p>
        </w:tc>
      </w:tr>
      <w:tr w:rsidR="00AA5B74" w:rsidTr="00734A65">
        <w:tc>
          <w:tcPr>
            <w:tcW w:w="6912" w:type="dxa"/>
          </w:tcPr>
          <w:p w:rsidR="00AA5B74" w:rsidRDefault="00AA5B74" w:rsidP="00B223D9">
            <w:pPr>
              <w:rPr>
                <w:b/>
              </w:rPr>
            </w:pPr>
            <w:r w:rsidRPr="00302087">
              <w:rPr>
                <w:b/>
              </w:rPr>
              <w:t>Validation des propositions concernant l’affectation des résultats et la distribution des dividendes aux associés</w:t>
            </w:r>
          </w:p>
        </w:tc>
        <w:tc>
          <w:tcPr>
            <w:tcW w:w="3261" w:type="dxa"/>
          </w:tcPr>
          <w:p w:rsidR="00AA5B74" w:rsidRDefault="00B3601E" w:rsidP="00AA5B74">
            <w:pPr>
              <w:jc w:val="center"/>
              <w:rPr>
                <w:b/>
              </w:rPr>
            </w:pPr>
            <w:r>
              <w:rPr>
                <w:b/>
              </w:rPr>
              <w:t>P. + CS</w:t>
            </w:r>
          </w:p>
        </w:tc>
        <w:tc>
          <w:tcPr>
            <w:tcW w:w="2835" w:type="dxa"/>
          </w:tcPr>
          <w:p w:rsidR="00AA5B74" w:rsidRDefault="00AA5B74" w:rsidP="00734A65">
            <w:pPr>
              <w:jc w:val="center"/>
              <w:rPr>
                <w:b/>
              </w:rPr>
            </w:pPr>
          </w:p>
        </w:tc>
      </w:tr>
      <w:tr w:rsidR="00AA5B74" w:rsidTr="00734A65">
        <w:tc>
          <w:tcPr>
            <w:tcW w:w="6912" w:type="dxa"/>
          </w:tcPr>
          <w:p w:rsidR="00AA5B74" w:rsidRDefault="00AA5B74" w:rsidP="007653EC">
            <w:pPr>
              <w:keepNext/>
              <w:rPr>
                <w:b/>
              </w:rPr>
            </w:pPr>
            <w:bookmarkStart w:id="64" w:name="_GoBack"/>
            <w:r w:rsidRPr="00302087">
              <w:rPr>
                <w:b/>
              </w:rPr>
              <w:lastRenderedPageBreak/>
              <w:t>Nomination, révocation, renouvellement ou rémunération du président de la société</w:t>
            </w:r>
            <w:bookmarkEnd w:id="64"/>
          </w:p>
        </w:tc>
        <w:tc>
          <w:tcPr>
            <w:tcW w:w="3261" w:type="dxa"/>
          </w:tcPr>
          <w:p w:rsidR="00AA5B74" w:rsidRDefault="00B3601E" w:rsidP="007653EC">
            <w:pPr>
              <w:keepNext/>
              <w:jc w:val="center"/>
              <w:rPr>
                <w:b/>
              </w:rPr>
            </w:pPr>
            <w:r w:rsidRPr="00B94F54">
              <w:rPr>
                <w:b/>
              </w:rPr>
              <w:t>AGE</w:t>
            </w:r>
            <w:r>
              <w:rPr>
                <w:rStyle w:val="Appelnotedebasdep"/>
                <w:rFonts w:ascii="Arial" w:hAnsi="Arial" w:cs="Arial"/>
                <w:sz w:val="20"/>
                <w:szCs w:val="20"/>
              </w:rPr>
              <w:footnoteReference w:id="8"/>
            </w:r>
          </w:p>
        </w:tc>
        <w:tc>
          <w:tcPr>
            <w:tcW w:w="2835" w:type="dxa"/>
          </w:tcPr>
          <w:p w:rsidR="00AA5B74" w:rsidRDefault="00AA5B74" w:rsidP="007653EC">
            <w:pPr>
              <w:keepNext/>
              <w:jc w:val="center"/>
              <w:rPr>
                <w:b/>
              </w:rPr>
            </w:pPr>
          </w:p>
        </w:tc>
      </w:tr>
      <w:tr w:rsidR="00AA5B74" w:rsidTr="00734A65">
        <w:tc>
          <w:tcPr>
            <w:tcW w:w="6912" w:type="dxa"/>
          </w:tcPr>
          <w:p w:rsidR="00AA5B74" w:rsidRDefault="00AA5B74" w:rsidP="00B223D9">
            <w:pPr>
              <w:rPr>
                <w:b/>
              </w:rPr>
            </w:pPr>
            <w:commentRangeStart w:id="65"/>
            <w:r w:rsidRPr="00302087">
              <w:rPr>
                <w:b/>
              </w:rPr>
              <w:t>Nomination, révocation, renouvellement ou rémunération des membres du Comité de Surveillance</w:t>
            </w:r>
            <w:commentRangeEnd w:id="65"/>
            <w:r w:rsidR="00D90740">
              <w:rPr>
                <w:rStyle w:val="Marquedecommentaire"/>
              </w:rPr>
              <w:commentReference w:id="65"/>
            </w:r>
          </w:p>
        </w:tc>
        <w:tc>
          <w:tcPr>
            <w:tcW w:w="3261" w:type="dxa"/>
          </w:tcPr>
          <w:p w:rsidR="00AA5B74" w:rsidRDefault="00B3601E" w:rsidP="00AA5B74">
            <w:pPr>
              <w:jc w:val="center"/>
              <w:rPr>
                <w:b/>
              </w:rPr>
            </w:pPr>
            <w:r>
              <w:rPr>
                <w:b/>
              </w:rPr>
              <w:t>AGO</w:t>
            </w:r>
            <w:r w:rsidR="007653EC">
              <w:rPr>
                <w:rStyle w:val="Appelnotedebasdep"/>
                <w:b/>
              </w:rPr>
              <w:footnoteReference w:id="9"/>
            </w:r>
          </w:p>
        </w:tc>
        <w:tc>
          <w:tcPr>
            <w:tcW w:w="2835" w:type="dxa"/>
          </w:tcPr>
          <w:p w:rsidR="00AA5B74" w:rsidRDefault="00AA5B74" w:rsidP="00734A65">
            <w:pPr>
              <w:jc w:val="center"/>
              <w:rPr>
                <w:b/>
              </w:rPr>
            </w:pPr>
          </w:p>
        </w:tc>
      </w:tr>
      <w:tr w:rsidR="00AA5B74" w:rsidTr="00734A65">
        <w:tc>
          <w:tcPr>
            <w:tcW w:w="6912" w:type="dxa"/>
          </w:tcPr>
          <w:p w:rsidR="00AA5B74" w:rsidRDefault="00AA5B74" w:rsidP="00B223D9">
            <w:pPr>
              <w:rPr>
                <w:b/>
              </w:rPr>
            </w:pPr>
            <w:commentRangeStart w:id="66"/>
            <w:r w:rsidRPr="007653EC">
              <w:rPr>
                <w:b/>
              </w:rPr>
              <w:t>Nomination et renouvellement d’un commissaire aux comptes</w:t>
            </w:r>
            <w:commentRangeEnd w:id="66"/>
            <w:r w:rsidR="00D90740">
              <w:rPr>
                <w:rStyle w:val="Marquedecommentaire"/>
              </w:rPr>
              <w:commentReference w:id="66"/>
            </w:r>
          </w:p>
        </w:tc>
        <w:tc>
          <w:tcPr>
            <w:tcW w:w="3261" w:type="dxa"/>
          </w:tcPr>
          <w:p w:rsidR="00AA5B74" w:rsidRDefault="00B3601E" w:rsidP="00AA5B74">
            <w:pPr>
              <w:jc w:val="center"/>
              <w:rPr>
                <w:b/>
              </w:rPr>
            </w:pPr>
            <w:r>
              <w:rPr>
                <w:b/>
              </w:rPr>
              <w:t>AGO</w:t>
            </w:r>
          </w:p>
        </w:tc>
        <w:tc>
          <w:tcPr>
            <w:tcW w:w="2835" w:type="dxa"/>
          </w:tcPr>
          <w:p w:rsidR="00AA5B74" w:rsidRDefault="00AA5B74" w:rsidP="00734A65">
            <w:pPr>
              <w:jc w:val="center"/>
              <w:rPr>
                <w:b/>
              </w:rPr>
            </w:pPr>
          </w:p>
        </w:tc>
      </w:tr>
      <w:tr w:rsidR="00AA5B74" w:rsidTr="00734A65">
        <w:tc>
          <w:tcPr>
            <w:tcW w:w="6912" w:type="dxa"/>
          </w:tcPr>
          <w:p w:rsidR="00AA5B74" w:rsidRDefault="00AA5B74" w:rsidP="00B223D9">
            <w:pPr>
              <w:rPr>
                <w:b/>
              </w:rPr>
            </w:pPr>
            <w:r w:rsidRPr="007653EC">
              <w:rPr>
                <w:b/>
              </w:rPr>
              <w:t>Approbation des comptes</w:t>
            </w:r>
          </w:p>
        </w:tc>
        <w:tc>
          <w:tcPr>
            <w:tcW w:w="3261" w:type="dxa"/>
          </w:tcPr>
          <w:p w:rsidR="00AA5B74" w:rsidRDefault="00B3601E" w:rsidP="00AA5B74">
            <w:pPr>
              <w:jc w:val="center"/>
              <w:rPr>
                <w:b/>
              </w:rPr>
            </w:pPr>
            <w:r>
              <w:rPr>
                <w:b/>
              </w:rPr>
              <w:t>AGO</w:t>
            </w:r>
          </w:p>
        </w:tc>
        <w:tc>
          <w:tcPr>
            <w:tcW w:w="2835" w:type="dxa"/>
          </w:tcPr>
          <w:p w:rsidR="00AA5B74" w:rsidRDefault="00AA5B74" w:rsidP="00734A65">
            <w:pPr>
              <w:jc w:val="center"/>
              <w:rPr>
                <w:b/>
              </w:rPr>
            </w:pPr>
          </w:p>
        </w:tc>
      </w:tr>
      <w:tr w:rsidR="00AA5B74" w:rsidTr="00734A65">
        <w:tc>
          <w:tcPr>
            <w:tcW w:w="6912" w:type="dxa"/>
          </w:tcPr>
          <w:p w:rsidR="00AA5B74" w:rsidRDefault="00AA5B74" w:rsidP="007653EC">
            <w:pPr>
              <w:rPr>
                <w:b/>
              </w:rPr>
            </w:pPr>
            <w:r w:rsidRPr="007653EC">
              <w:rPr>
                <w:b/>
              </w:rPr>
              <w:t>Affectation des résultats et la distribution des dividendes aux associés</w:t>
            </w:r>
          </w:p>
        </w:tc>
        <w:tc>
          <w:tcPr>
            <w:tcW w:w="3261" w:type="dxa"/>
          </w:tcPr>
          <w:p w:rsidR="00AA5B74" w:rsidRDefault="00B3601E" w:rsidP="00AA5B74">
            <w:pPr>
              <w:jc w:val="center"/>
              <w:rPr>
                <w:b/>
              </w:rPr>
            </w:pPr>
            <w:r>
              <w:rPr>
                <w:b/>
              </w:rPr>
              <w:t>AGO</w:t>
            </w:r>
          </w:p>
        </w:tc>
        <w:tc>
          <w:tcPr>
            <w:tcW w:w="2835" w:type="dxa"/>
          </w:tcPr>
          <w:p w:rsidR="00AA5B74" w:rsidRDefault="00AA5B74" w:rsidP="00734A65">
            <w:pPr>
              <w:jc w:val="center"/>
              <w:rPr>
                <w:b/>
              </w:rPr>
            </w:pPr>
          </w:p>
        </w:tc>
      </w:tr>
      <w:tr w:rsidR="00AA5B74" w:rsidTr="00734A65">
        <w:tc>
          <w:tcPr>
            <w:tcW w:w="6912" w:type="dxa"/>
          </w:tcPr>
          <w:p w:rsidR="00AA5B74" w:rsidRDefault="00AA5B74" w:rsidP="00B223D9">
            <w:pPr>
              <w:rPr>
                <w:b/>
              </w:rPr>
            </w:pPr>
            <w:r w:rsidRPr="007653EC">
              <w:rPr>
                <w:b/>
              </w:rPr>
              <w:t>Fusion, scission, apport partiel d’actif</w:t>
            </w:r>
          </w:p>
        </w:tc>
        <w:tc>
          <w:tcPr>
            <w:tcW w:w="3261" w:type="dxa"/>
          </w:tcPr>
          <w:p w:rsidR="00AA5B74" w:rsidRDefault="00B3601E" w:rsidP="00B94F54">
            <w:pPr>
              <w:jc w:val="center"/>
              <w:rPr>
                <w:b/>
              </w:rPr>
            </w:pPr>
            <w:r w:rsidRPr="007653EC">
              <w:rPr>
                <w:b/>
              </w:rPr>
              <w:t>AGE</w:t>
            </w:r>
          </w:p>
        </w:tc>
        <w:tc>
          <w:tcPr>
            <w:tcW w:w="2835" w:type="dxa"/>
          </w:tcPr>
          <w:p w:rsidR="00AA5B74" w:rsidRDefault="00AA5B74" w:rsidP="00734A65">
            <w:pPr>
              <w:jc w:val="center"/>
              <w:rPr>
                <w:b/>
              </w:rPr>
            </w:pPr>
          </w:p>
        </w:tc>
      </w:tr>
      <w:tr w:rsidR="00AA5B74" w:rsidTr="00734A65">
        <w:tc>
          <w:tcPr>
            <w:tcW w:w="6912" w:type="dxa"/>
          </w:tcPr>
          <w:p w:rsidR="00AA5B74" w:rsidRPr="007653EC" w:rsidRDefault="00AA5B74" w:rsidP="00B223D9">
            <w:pPr>
              <w:rPr>
                <w:b/>
              </w:rPr>
            </w:pPr>
            <w:r w:rsidRPr="007653EC">
              <w:rPr>
                <w:b/>
              </w:rPr>
              <w:t>Transformation de la société Ecotitanium en société d’une autre forme</w:t>
            </w:r>
          </w:p>
        </w:tc>
        <w:tc>
          <w:tcPr>
            <w:tcW w:w="3261" w:type="dxa"/>
          </w:tcPr>
          <w:p w:rsidR="00AA5B74" w:rsidRDefault="00B3601E" w:rsidP="00AA5B74">
            <w:pPr>
              <w:jc w:val="center"/>
              <w:rPr>
                <w:b/>
              </w:rPr>
            </w:pPr>
            <w:r>
              <w:rPr>
                <w:b/>
              </w:rPr>
              <w:t>AGE</w:t>
            </w:r>
          </w:p>
        </w:tc>
        <w:tc>
          <w:tcPr>
            <w:tcW w:w="2835" w:type="dxa"/>
          </w:tcPr>
          <w:p w:rsidR="00AA5B74" w:rsidRDefault="00AA5B74" w:rsidP="00734A65">
            <w:pPr>
              <w:jc w:val="center"/>
              <w:rPr>
                <w:b/>
              </w:rPr>
            </w:pPr>
          </w:p>
        </w:tc>
      </w:tr>
      <w:tr w:rsidR="00AA5B74" w:rsidTr="00734A65">
        <w:tc>
          <w:tcPr>
            <w:tcW w:w="6912" w:type="dxa"/>
          </w:tcPr>
          <w:p w:rsidR="00AA5B74" w:rsidRPr="007653EC" w:rsidRDefault="00AA5B74" w:rsidP="00B223D9">
            <w:pPr>
              <w:rPr>
                <w:b/>
              </w:rPr>
            </w:pPr>
            <w:r w:rsidRPr="007653EC">
              <w:rPr>
                <w:b/>
              </w:rPr>
              <w:t>Transfert du siège hors du département</w:t>
            </w:r>
          </w:p>
        </w:tc>
        <w:tc>
          <w:tcPr>
            <w:tcW w:w="3261" w:type="dxa"/>
          </w:tcPr>
          <w:p w:rsidR="00AA5B74" w:rsidRDefault="00B3601E" w:rsidP="00AA5B74">
            <w:pPr>
              <w:jc w:val="center"/>
              <w:rPr>
                <w:b/>
              </w:rPr>
            </w:pPr>
            <w:r>
              <w:rPr>
                <w:b/>
              </w:rPr>
              <w:t>AGE</w:t>
            </w:r>
          </w:p>
        </w:tc>
        <w:tc>
          <w:tcPr>
            <w:tcW w:w="2835" w:type="dxa"/>
          </w:tcPr>
          <w:p w:rsidR="00AA5B74" w:rsidRDefault="00AA5B74" w:rsidP="00734A65">
            <w:pPr>
              <w:jc w:val="center"/>
              <w:rPr>
                <w:b/>
              </w:rPr>
            </w:pPr>
          </w:p>
        </w:tc>
      </w:tr>
      <w:tr w:rsidR="00AA5B74" w:rsidTr="00734A65">
        <w:tc>
          <w:tcPr>
            <w:tcW w:w="6912" w:type="dxa"/>
          </w:tcPr>
          <w:p w:rsidR="00AA5B74" w:rsidRPr="007653EC" w:rsidRDefault="00AA5B74" w:rsidP="00B223D9">
            <w:pPr>
              <w:rPr>
                <w:b/>
              </w:rPr>
            </w:pPr>
            <w:r w:rsidRPr="007653EC">
              <w:rPr>
                <w:b/>
              </w:rPr>
              <w:t>Augmentation de capital, ou amortissement ou réduction du capital ou suppression du droit préférentiel de souscription</w:t>
            </w:r>
          </w:p>
        </w:tc>
        <w:tc>
          <w:tcPr>
            <w:tcW w:w="3261" w:type="dxa"/>
          </w:tcPr>
          <w:p w:rsidR="00AA5B74" w:rsidRDefault="00B3601E" w:rsidP="00AA5B74">
            <w:pPr>
              <w:jc w:val="center"/>
              <w:rPr>
                <w:b/>
              </w:rPr>
            </w:pPr>
            <w:r>
              <w:rPr>
                <w:b/>
              </w:rPr>
              <w:t>AGE</w:t>
            </w:r>
          </w:p>
        </w:tc>
        <w:tc>
          <w:tcPr>
            <w:tcW w:w="2835" w:type="dxa"/>
          </w:tcPr>
          <w:p w:rsidR="00AA5B74" w:rsidRDefault="00AA5B74" w:rsidP="00734A65">
            <w:pPr>
              <w:jc w:val="center"/>
              <w:rPr>
                <w:b/>
              </w:rPr>
            </w:pPr>
          </w:p>
        </w:tc>
      </w:tr>
      <w:tr w:rsidR="00AA5B74" w:rsidTr="00734A65">
        <w:tc>
          <w:tcPr>
            <w:tcW w:w="6912" w:type="dxa"/>
          </w:tcPr>
          <w:p w:rsidR="00AA5B74" w:rsidRPr="007653EC" w:rsidRDefault="00AA5B74" w:rsidP="00B223D9">
            <w:pPr>
              <w:rPr>
                <w:b/>
              </w:rPr>
            </w:pPr>
            <w:r w:rsidRPr="007653EC">
              <w:rPr>
                <w:b/>
              </w:rPr>
              <w:t>Autres émissions de titres ou de valeurs mobilières</w:t>
            </w:r>
          </w:p>
        </w:tc>
        <w:tc>
          <w:tcPr>
            <w:tcW w:w="3261" w:type="dxa"/>
          </w:tcPr>
          <w:p w:rsidR="00AA5B74" w:rsidRDefault="00B3601E" w:rsidP="00AA5B74">
            <w:pPr>
              <w:jc w:val="center"/>
              <w:rPr>
                <w:b/>
              </w:rPr>
            </w:pPr>
            <w:r>
              <w:rPr>
                <w:b/>
              </w:rPr>
              <w:t>AGE</w:t>
            </w:r>
          </w:p>
        </w:tc>
        <w:tc>
          <w:tcPr>
            <w:tcW w:w="2835" w:type="dxa"/>
          </w:tcPr>
          <w:p w:rsidR="00AA5B74" w:rsidRDefault="00AA5B74" w:rsidP="00734A65">
            <w:pPr>
              <w:jc w:val="center"/>
              <w:rPr>
                <w:b/>
              </w:rPr>
            </w:pPr>
          </w:p>
        </w:tc>
      </w:tr>
      <w:tr w:rsidR="00AA5B74" w:rsidTr="00734A65">
        <w:tc>
          <w:tcPr>
            <w:tcW w:w="6912" w:type="dxa"/>
          </w:tcPr>
          <w:p w:rsidR="00AA5B74" w:rsidRPr="007653EC" w:rsidRDefault="00AA5B74" w:rsidP="00B223D9">
            <w:pPr>
              <w:rPr>
                <w:b/>
              </w:rPr>
            </w:pPr>
            <w:r w:rsidRPr="007653EC">
              <w:rPr>
                <w:b/>
              </w:rPr>
              <w:t>Autres modifications statutaires</w:t>
            </w:r>
          </w:p>
        </w:tc>
        <w:tc>
          <w:tcPr>
            <w:tcW w:w="3261" w:type="dxa"/>
          </w:tcPr>
          <w:p w:rsidR="00AA5B74" w:rsidRDefault="00B3601E" w:rsidP="00AA5B74">
            <w:pPr>
              <w:jc w:val="center"/>
              <w:rPr>
                <w:b/>
              </w:rPr>
            </w:pPr>
            <w:r>
              <w:rPr>
                <w:b/>
              </w:rPr>
              <w:t>AGE</w:t>
            </w:r>
          </w:p>
        </w:tc>
        <w:tc>
          <w:tcPr>
            <w:tcW w:w="2835" w:type="dxa"/>
          </w:tcPr>
          <w:p w:rsidR="00AA5B74" w:rsidRDefault="00AA5B74" w:rsidP="00734A65">
            <w:pPr>
              <w:jc w:val="center"/>
              <w:rPr>
                <w:b/>
              </w:rPr>
            </w:pPr>
          </w:p>
        </w:tc>
      </w:tr>
      <w:tr w:rsidR="00AA5B74" w:rsidTr="00734A65">
        <w:tc>
          <w:tcPr>
            <w:tcW w:w="6912" w:type="dxa"/>
          </w:tcPr>
          <w:p w:rsidR="00AA5B74" w:rsidRPr="007653EC" w:rsidRDefault="00AA5B74" w:rsidP="00B223D9">
            <w:pPr>
              <w:rPr>
                <w:b/>
              </w:rPr>
            </w:pPr>
            <w:r w:rsidRPr="007653EC">
              <w:rPr>
                <w:b/>
              </w:rPr>
              <w:t>Liquidation, dissolution de la société</w:t>
            </w:r>
          </w:p>
        </w:tc>
        <w:tc>
          <w:tcPr>
            <w:tcW w:w="3261" w:type="dxa"/>
          </w:tcPr>
          <w:p w:rsidR="00AA5B74" w:rsidRDefault="00B3601E" w:rsidP="00AA5B74">
            <w:pPr>
              <w:jc w:val="center"/>
              <w:rPr>
                <w:b/>
              </w:rPr>
            </w:pPr>
            <w:r>
              <w:rPr>
                <w:b/>
              </w:rPr>
              <w:t>AGE</w:t>
            </w:r>
          </w:p>
        </w:tc>
        <w:tc>
          <w:tcPr>
            <w:tcW w:w="2835" w:type="dxa"/>
          </w:tcPr>
          <w:p w:rsidR="00AA5B74" w:rsidRDefault="00AA5B74" w:rsidP="00734A65">
            <w:pPr>
              <w:jc w:val="center"/>
              <w:rPr>
                <w:b/>
              </w:rPr>
            </w:pPr>
          </w:p>
        </w:tc>
      </w:tr>
      <w:tr w:rsidR="00AA5B74" w:rsidTr="00734A65">
        <w:tc>
          <w:tcPr>
            <w:tcW w:w="6912" w:type="dxa"/>
          </w:tcPr>
          <w:p w:rsidR="00AA5B74" w:rsidRPr="007653EC" w:rsidRDefault="00AA5B74" w:rsidP="00B223D9">
            <w:pPr>
              <w:rPr>
                <w:b/>
              </w:rPr>
            </w:pPr>
            <w:r w:rsidRPr="007653EC">
              <w:rPr>
                <w:b/>
              </w:rPr>
              <w:t>Décisions à prendre en cas de perte de la moitié du capital social</w:t>
            </w:r>
          </w:p>
        </w:tc>
        <w:tc>
          <w:tcPr>
            <w:tcW w:w="3261" w:type="dxa"/>
          </w:tcPr>
          <w:p w:rsidR="00AA5B74" w:rsidRDefault="00B3601E" w:rsidP="00AA5B74">
            <w:pPr>
              <w:jc w:val="center"/>
              <w:rPr>
                <w:b/>
              </w:rPr>
            </w:pPr>
            <w:r>
              <w:rPr>
                <w:b/>
              </w:rPr>
              <w:t>AGO/E</w:t>
            </w:r>
          </w:p>
        </w:tc>
        <w:tc>
          <w:tcPr>
            <w:tcW w:w="2835" w:type="dxa"/>
          </w:tcPr>
          <w:p w:rsidR="00AA5B74" w:rsidRDefault="00AA5B74" w:rsidP="00734A65">
            <w:pPr>
              <w:jc w:val="center"/>
              <w:rPr>
                <w:b/>
              </w:rPr>
            </w:pPr>
          </w:p>
        </w:tc>
      </w:tr>
      <w:tr w:rsidR="00AA5B74" w:rsidTr="00734A65">
        <w:tc>
          <w:tcPr>
            <w:tcW w:w="6912" w:type="dxa"/>
          </w:tcPr>
          <w:p w:rsidR="00AA5B74" w:rsidRPr="007653EC" w:rsidRDefault="00AA5B74" w:rsidP="00B223D9">
            <w:pPr>
              <w:rPr>
                <w:b/>
              </w:rPr>
            </w:pPr>
            <w:r w:rsidRPr="007653EC">
              <w:rPr>
                <w:b/>
              </w:rPr>
              <w:lastRenderedPageBreak/>
              <w:t>Création d’un plan d’attribution gratuite d’actions ou de stocks options, participation, plan épargne entreprise etc.</w:t>
            </w:r>
          </w:p>
        </w:tc>
        <w:tc>
          <w:tcPr>
            <w:tcW w:w="3261" w:type="dxa"/>
          </w:tcPr>
          <w:p w:rsidR="00AA5B74" w:rsidRDefault="00B3601E" w:rsidP="00AA5B74">
            <w:pPr>
              <w:jc w:val="center"/>
              <w:rPr>
                <w:b/>
              </w:rPr>
            </w:pPr>
            <w:r>
              <w:rPr>
                <w:b/>
              </w:rPr>
              <w:t>AGE</w:t>
            </w:r>
          </w:p>
        </w:tc>
        <w:tc>
          <w:tcPr>
            <w:tcW w:w="2835" w:type="dxa"/>
          </w:tcPr>
          <w:p w:rsidR="00AA5B74" w:rsidRDefault="00AA5B74" w:rsidP="00734A65">
            <w:pPr>
              <w:jc w:val="center"/>
              <w:rPr>
                <w:b/>
              </w:rPr>
            </w:pPr>
          </w:p>
        </w:tc>
      </w:tr>
      <w:tr w:rsidR="00AA5B74" w:rsidTr="00734A65">
        <w:tc>
          <w:tcPr>
            <w:tcW w:w="6912" w:type="dxa"/>
          </w:tcPr>
          <w:p w:rsidR="00AA5B74" w:rsidRPr="007653EC" w:rsidRDefault="00AA5B74" w:rsidP="00B223D9">
            <w:pPr>
              <w:rPr>
                <w:b/>
              </w:rPr>
            </w:pPr>
            <w:r w:rsidRPr="007653EC">
              <w:rPr>
                <w:b/>
              </w:rPr>
              <w:t>Décision augmentant les engagements des Associés</w:t>
            </w:r>
          </w:p>
        </w:tc>
        <w:tc>
          <w:tcPr>
            <w:tcW w:w="3261" w:type="dxa"/>
          </w:tcPr>
          <w:p w:rsidR="00AA5B74" w:rsidRDefault="00B3601E" w:rsidP="00B3601E">
            <w:pPr>
              <w:jc w:val="center"/>
              <w:rPr>
                <w:b/>
              </w:rPr>
            </w:pPr>
            <w:r>
              <w:rPr>
                <w:b/>
              </w:rPr>
              <w:t>Conventionnelle</w:t>
            </w:r>
          </w:p>
        </w:tc>
        <w:tc>
          <w:tcPr>
            <w:tcW w:w="2835" w:type="dxa"/>
          </w:tcPr>
          <w:p w:rsidR="00AA5B74" w:rsidRDefault="00AA5B74" w:rsidP="00734A65">
            <w:pPr>
              <w:jc w:val="center"/>
              <w:rPr>
                <w:b/>
              </w:rPr>
            </w:pPr>
          </w:p>
        </w:tc>
      </w:tr>
      <w:tr w:rsidR="00AA5B74" w:rsidTr="00734A65">
        <w:tc>
          <w:tcPr>
            <w:tcW w:w="6912" w:type="dxa"/>
          </w:tcPr>
          <w:p w:rsidR="00AA5B74" w:rsidRPr="007653EC" w:rsidRDefault="00AA5B74" w:rsidP="00B223D9">
            <w:pPr>
              <w:rPr>
                <w:b/>
              </w:rPr>
            </w:pPr>
            <w:r w:rsidRPr="007653EC">
              <w:rPr>
                <w:b/>
              </w:rPr>
              <w:t>Exclusion d’un associé</w:t>
            </w:r>
          </w:p>
        </w:tc>
        <w:tc>
          <w:tcPr>
            <w:tcW w:w="3261" w:type="dxa"/>
          </w:tcPr>
          <w:p w:rsidR="00AA5B74" w:rsidRDefault="00B3601E" w:rsidP="00AA5B74">
            <w:pPr>
              <w:jc w:val="center"/>
              <w:rPr>
                <w:b/>
              </w:rPr>
            </w:pPr>
            <w:r>
              <w:rPr>
                <w:b/>
              </w:rPr>
              <w:t>Conventionnelle</w:t>
            </w:r>
          </w:p>
        </w:tc>
        <w:tc>
          <w:tcPr>
            <w:tcW w:w="2835" w:type="dxa"/>
          </w:tcPr>
          <w:p w:rsidR="00AA5B74" w:rsidRDefault="00AA5B74" w:rsidP="00734A65">
            <w:pPr>
              <w:jc w:val="center"/>
              <w:rPr>
                <w:b/>
              </w:rPr>
            </w:pPr>
          </w:p>
        </w:tc>
      </w:tr>
    </w:tbl>
    <w:p w:rsidR="005A37E7" w:rsidRPr="005A37E7" w:rsidRDefault="005A37E7" w:rsidP="00B223D9">
      <w:pPr>
        <w:rPr>
          <w:b/>
        </w:rPr>
      </w:pPr>
    </w:p>
    <w:p w:rsidR="00DB5EB9" w:rsidRPr="005A37E7" w:rsidRDefault="00DB5EB9" w:rsidP="00B223D9">
      <w:pPr>
        <w:rPr>
          <w:b/>
        </w:rPr>
      </w:pPr>
    </w:p>
    <w:sectPr w:rsidR="00DB5EB9" w:rsidRPr="005A37E7" w:rsidSect="007B57C0">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1418" w:bottom="1418" w:left="181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erena Bonnet" w:date="2013-06-07T11:44:00Z" w:initials="VB">
    <w:p w:rsidR="007335BF" w:rsidRDefault="007335BF">
      <w:pPr>
        <w:pStyle w:val="Commentaire"/>
      </w:pPr>
      <w:r>
        <w:rPr>
          <w:rStyle w:val="Marquedecommentaire"/>
        </w:rPr>
        <w:annotationRef/>
      </w:r>
      <w:r>
        <w:t>JFD</w:t>
      </w:r>
    </w:p>
  </w:comment>
  <w:comment w:id="1" w:author="Verena Bonnet" w:date="2013-06-07T11:44:00Z" w:initials="VB">
    <w:p w:rsidR="007335BF" w:rsidRDefault="007335BF">
      <w:pPr>
        <w:pStyle w:val="Commentaire"/>
      </w:pPr>
      <w:r>
        <w:rPr>
          <w:rStyle w:val="Marquedecommentaire"/>
        </w:rPr>
        <w:annotationRef/>
      </w:r>
      <w:r>
        <w:t>JFD</w:t>
      </w:r>
    </w:p>
  </w:comment>
  <w:comment w:id="2" w:author="Verena Bonnet" w:date="2013-06-07T11:45:00Z" w:initials="VB">
    <w:p w:rsidR="007335BF" w:rsidRDefault="007335BF">
      <w:pPr>
        <w:pStyle w:val="Commentaire"/>
      </w:pPr>
      <w:r>
        <w:rPr>
          <w:rStyle w:val="Marquedecommentaire"/>
        </w:rPr>
        <w:annotationRef/>
      </w:r>
      <w:r>
        <w:t>R ; Allier + C. Poulet</w:t>
      </w:r>
    </w:p>
  </w:comment>
  <w:comment w:id="3" w:author="Verena Bonnet" w:date="2013-06-07T17:47:00Z" w:initials="VB">
    <w:p w:rsidR="007335BF" w:rsidRDefault="007335BF">
      <w:pPr>
        <w:pStyle w:val="Commentaire"/>
      </w:pPr>
      <w:r>
        <w:rPr>
          <w:rStyle w:val="Marquedecommentaire"/>
        </w:rPr>
        <w:annotationRef/>
      </w:r>
      <w:r>
        <w:t>PDL + PMN</w:t>
      </w:r>
    </w:p>
    <w:p w:rsidR="007335BF" w:rsidRDefault="007335BF">
      <w:pPr>
        <w:pStyle w:val="Commentaire"/>
      </w:pPr>
      <w:r>
        <w:t xml:space="preserve">Le plus tôt on les </w:t>
      </w:r>
      <w:r w:rsidR="000620DF">
        <w:t xml:space="preserve"> </w:t>
      </w:r>
      <w:r>
        <w:t xml:space="preserve">signe mieux c’est, mais on ne maîtrise pas les délais avec UKTMP </w:t>
      </w:r>
      <w:r>
        <w:sym w:font="Wingdings" w:char="F0E8"/>
      </w:r>
      <w:r>
        <w:t xml:space="preserve"> 2 à 3 moi</w:t>
      </w:r>
      <w:r w:rsidR="000620DF">
        <w:t>s</w:t>
      </w:r>
      <w:r>
        <w:t>.</w:t>
      </w:r>
    </w:p>
  </w:comment>
  <w:comment w:id="4" w:author="Verena Bonnet" w:date="2013-06-07T11:48:00Z" w:initials="VB">
    <w:p w:rsidR="007335BF" w:rsidRDefault="007335BF">
      <w:pPr>
        <w:pStyle w:val="Commentaire"/>
      </w:pPr>
      <w:r>
        <w:rPr>
          <w:rStyle w:val="Marquedecommentaire"/>
        </w:rPr>
        <w:annotationRef/>
      </w:r>
      <w:r>
        <w:t>JDF</w:t>
      </w:r>
    </w:p>
  </w:comment>
  <w:comment w:id="5" w:author="Verena Bonnet" w:date="2013-06-07T17:48:00Z" w:initials="VB">
    <w:p w:rsidR="007335BF" w:rsidRDefault="007335BF">
      <w:pPr>
        <w:pStyle w:val="Commentaire"/>
      </w:pPr>
      <w:r>
        <w:rPr>
          <w:rStyle w:val="Marquedecommentaire"/>
        </w:rPr>
        <w:annotationRef/>
      </w:r>
      <w:r w:rsidR="000620DF">
        <w:t xml:space="preserve">JFD + </w:t>
      </w:r>
      <w:r>
        <w:t>PMN</w:t>
      </w:r>
    </w:p>
  </w:comment>
  <w:comment w:id="6" w:author="Verena Bonnet" w:date="2013-06-07T17:48:00Z" w:initials="VB">
    <w:p w:rsidR="007335BF" w:rsidRDefault="007335BF">
      <w:pPr>
        <w:pStyle w:val="Commentaire"/>
      </w:pPr>
      <w:r>
        <w:rPr>
          <w:rStyle w:val="Marquedecommentaire"/>
        </w:rPr>
        <w:annotationRef/>
      </w:r>
      <w:r w:rsidR="00A062AA">
        <w:t>P. Rapp essayera de faire sauter la clause de garantie AD</w:t>
      </w:r>
    </w:p>
  </w:comment>
  <w:comment w:id="7" w:author="Verena Bonnet" w:date="2013-06-07T11:51:00Z" w:initials="VB">
    <w:p w:rsidR="007335BF" w:rsidRDefault="007335BF" w:rsidP="00B25EF6">
      <w:pPr>
        <w:pStyle w:val="Commentaire"/>
        <w:numPr>
          <w:ilvl w:val="0"/>
          <w:numId w:val="41"/>
        </w:numPr>
      </w:pPr>
      <w:r>
        <w:rPr>
          <w:rStyle w:val="Marquedecommentaire"/>
        </w:rPr>
        <w:annotationRef/>
      </w:r>
      <w:r>
        <w:t>Allier + JFD</w:t>
      </w:r>
    </w:p>
  </w:comment>
  <w:comment w:id="8" w:author="Verena Bonnet" w:date="2013-06-07T11:52:00Z" w:initials="VB">
    <w:p w:rsidR="007335BF" w:rsidRDefault="007335BF">
      <w:pPr>
        <w:pStyle w:val="Commentaire"/>
      </w:pPr>
      <w:r>
        <w:rPr>
          <w:rStyle w:val="Marquedecommentaire"/>
        </w:rPr>
        <w:annotationRef/>
      </w:r>
      <w:r>
        <w:t xml:space="preserve">PMN + S. </w:t>
      </w:r>
      <w:proofErr w:type="spellStart"/>
      <w:r>
        <w:t>Gehler</w:t>
      </w:r>
      <w:proofErr w:type="spellEnd"/>
    </w:p>
  </w:comment>
  <w:comment w:id="9" w:author="Verena Bonnet" w:date="2013-06-07T17:49:00Z" w:initials="VB">
    <w:p w:rsidR="007335BF" w:rsidRDefault="007335BF">
      <w:pPr>
        <w:pStyle w:val="Commentaire"/>
      </w:pPr>
      <w:r>
        <w:rPr>
          <w:rStyle w:val="Marquedecommentaire"/>
        </w:rPr>
        <w:annotationRef/>
      </w:r>
      <w:r>
        <w:t xml:space="preserve">Oui </w:t>
      </w:r>
    </w:p>
  </w:comment>
  <w:comment w:id="10" w:author="Verena Bonnet" w:date="2013-06-07T11:53:00Z" w:initials="VB">
    <w:p w:rsidR="007335BF" w:rsidRDefault="007335BF">
      <w:pPr>
        <w:pStyle w:val="Commentaire"/>
      </w:pPr>
      <w:r>
        <w:rPr>
          <w:rStyle w:val="Marquedecommentaire"/>
        </w:rPr>
        <w:annotationRef/>
      </w:r>
      <w:r>
        <w:t>Oui</w:t>
      </w:r>
    </w:p>
  </w:comment>
  <w:comment w:id="11" w:author="Verena Bonnet" w:date="2013-06-07T17:50:00Z" w:initials="VB">
    <w:p w:rsidR="006D6F23" w:rsidRDefault="006D6F23">
      <w:pPr>
        <w:pStyle w:val="Commentaire"/>
      </w:pPr>
      <w:r>
        <w:rPr>
          <w:rStyle w:val="Marquedecommentaire"/>
        </w:rPr>
        <w:annotationRef/>
      </w:r>
      <w:r w:rsidR="0063202C">
        <w:t xml:space="preserve">P. Rapp, </w:t>
      </w:r>
      <w:r>
        <w:t>Discussion de fond si on veut quelqu’un qui contr</w:t>
      </w:r>
      <w:r w:rsidR="0063202C">
        <w:t>ôle le président… Nécessité d’aval DG AD</w:t>
      </w:r>
    </w:p>
  </w:comment>
  <w:comment w:id="12" w:author="Verena Bonnet" w:date="2013-06-07T17:51:00Z" w:initials="VB">
    <w:p w:rsidR="009C67AA" w:rsidRDefault="009C67AA">
      <w:pPr>
        <w:pStyle w:val="Commentaire"/>
      </w:pPr>
      <w:r>
        <w:rPr>
          <w:rStyle w:val="Marquedecommentaire"/>
        </w:rPr>
        <w:annotationRef/>
      </w:r>
      <w:r>
        <w:t>Ils ont peur du schéma UKAD, trop lourd, à débattre prendre note des souhaits ADEME + CA + </w:t>
      </w:r>
      <w:r w:rsidR="00D7044C">
        <w:t>murissement</w:t>
      </w:r>
      <w:r>
        <w:t xml:space="preserve"> AD avec nouvelle proposition</w:t>
      </w:r>
    </w:p>
  </w:comment>
  <w:comment w:id="13" w:author="Verena Bonnet" w:date="2013-06-07T17:51:00Z" w:initials="VB">
    <w:p w:rsidR="0036277A" w:rsidRDefault="0036277A">
      <w:pPr>
        <w:pStyle w:val="Commentaire"/>
      </w:pPr>
      <w:r>
        <w:rPr>
          <w:rStyle w:val="Marquedecommentaire"/>
        </w:rPr>
        <w:annotationRef/>
      </w:r>
      <w:r w:rsidR="00BE4159">
        <w:t>Ok s</w:t>
      </w:r>
      <w:r>
        <w:t>i demande ferme</w:t>
      </w:r>
      <w:r w:rsidR="00BE4159">
        <w:t xml:space="preserve">, </w:t>
      </w:r>
      <w:r>
        <w:t xml:space="preserve"> mais peut être lourd</w:t>
      </w:r>
    </w:p>
  </w:comment>
  <w:comment w:id="14" w:author="Verena Bonnet" w:date="2013-06-07T17:51:00Z" w:initials="VB">
    <w:p w:rsidR="003F1CBB" w:rsidRDefault="003F1CBB">
      <w:pPr>
        <w:pStyle w:val="Commentaire"/>
      </w:pPr>
      <w:r>
        <w:rPr>
          <w:rStyle w:val="Marquedecommentaire"/>
        </w:rPr>
        <w:annotationRef/>
      </w:r>
      <w:r>
        <w:t xml:space="preserve">Proposition initiale CD + </w:t>
      </w:r>
      <w:proofErr w:type="spellStart"/>
      <w:r>
        <w:t>PhG</w:t>
      </w:r>
      <w:proofErr w:type="spellEnd"/>
      <w:r w:rsidR="00BE4159">
        <w:t xml:space="preserve"> </w:t>
      </w:r>
      <w:r w:rsidR="00BE4159">
        <w:sym w:font="Wingdings" w:char="F0E8"/>
      </w:r>
      <w:r>
        <w:t xml:space="preserve"> écoute +</w:t>
      </w:r>
      <w:r w:rsidR="007720E5">
        <w:t> </w:t>
      </w:r>
      <w:r w:rsidR="00BE4159">
        <w:t>murissement</w:t>
      </w:r>
      <w:r w:rsidR="007720E5">
        <w:t xml:space="preserve"> AD</w:t>
      </w:r>
    </w:p>
  </w:comment>
  <w:comment w:id="15" w:author="Verena Bonnet" w:date="2013-06-07T17:52:00Z" w:initials="VB">
    <w:p w:rsidR="005F6B58" w:rsidRDefault="005F6B58">
      <w:pPr>
        <w:pStyle w:val="Commentaire"/>
      </w:pPr>
      <w:r>
        <w:rPr>
          <w:rStyle w:val="Marquedecommentaire"/>
        </w:rPr>
        <w:annotationRef/>
      </w:r>
      <w:r>
        <w:t>Dont au moins 1 UKAD</w:t>
      </w:r>
    </w:p>
    <w:p w:rsidR="005F6B58" w:rsidRDefault="005F6B58">
      <w:pPr>
        <w:pStyle w:val="Commentaire"/>
      </w:pPr>
      <w:r>
        <w:t>P. Rapp + PMN</w:t>
      </w:r>
    </w:p>
  </w:comment>
  <w:comment w:id="16" w:author="Verena Bonnet" w:date="2013-06-07T17:53:00Z" w:initials="VB">
    <w:p w:rsidR="0002018B" w:rsidRDefault="0002018B">
      <w:pPr>
        <w:pStyle w:val="Commentaire"/>
      </w:pPr>
      <w:r>
        <w:rPr>
          <w:rStyle w:val="Marquedecommentaire"/>
        </w:rPr>
        <w:annotationRef/>
      </w:r>
      <w:r w:rsidR="00432726">
        <w:t>Ok, annexe à discuter</w:t>
      </w:r>
    </w:p>
  </w:comment>
  <w:comment w:id="17" w:author="Verena Bonnet" w:date="2013-06-07T16:07:00Z" w:initials="VB">
    <w:p w:rsidR="00491EB1" w:rsidRDefault="00491EB1">
      <w:pPr>
        <w:pStyle w:val="Commentaire"/>
      </w:pPr>
      <w:r>
        <w:rPr>
          <w:rStyle w:val="Marquedecommentaire"/>
        </w:rPr>
        <w:annotationRef/>
      </w:r>
      <w:r>
        <w:t>Loi</w:t>
      </w:r>
    </w:p>
  </w:comment>
  <w:comment w:id="18" w:author="Verena Bonnet" w:date="2013-06-07T17:54:00Z" w:initials="VB">
    <w:p w:rsidR="00B643B7" w:rsidRDefault="00B643B7">
      <w:pPr>
        <w:pStyle w:val="Commentaire"/>
      </w:pPr>
      <w:r>
        <w:rPr>
          <w:rStyle w:val="Marquedecommentaire"/>
        </w:rPr>
        <w:annotationRef/>
      </w:r>
      <w:r>
        <w:t>Dont 1 UKAD au moins</w:t>
      </w:r>
    </w:p>
  </w:comment>
  <w:comment w:id="19" w:author="Verena Bonnet" w:date="2013-06-07T17:55:00Z" w:initials="VB">
    <w:p w:rsidR="0002018B" w:rsidRDefault="0002018B">
      <w:pPr>
        <w:pStyle w:val="Commentaire"/>
      </w:pPr>
      <w:r>
        <w:rPr>
          <w:rStyle w:val="Marquedecommentaire"/>
        </w:rPr>
        <w:annotationRef/>
      </w:r>
      <w:r>
        <w:t>Approbation = obligation légale</w:t>
      </w:r>
    </w:p>
    <w:p w:rsidR="0002018B" w:rsidRDefault="0002018B">
      <w:pPr>
        <w:pStyle w:val="Commentaire"/>
      </w:pPr>
    </w:p>
  </w:comment>
  <w:comment w:id="20" w:author="Verena Bonnet" w:date="2013-06-07T17:55:00Z" w:initials="VB">
    <w:p w:rsidR="00860E16" w:rsidRDefault="00860E16">
      <w:pPr>
        <w:pStyle w:val="Commentaire"/>
      </w:pPr>
      <w:r>
        <w:rPr>
          <w:rStyle w:val="Marquedecommentaire"/>
        </w:rPr>
        <w:annotationRef/>
      </w:r>
      <w:r>
        <w:t>P. Rapp : Vérifier pour PR de l’aspect légal, sinon ok.</w:t>
      </w:r>
    </w:p>
  </w:comment>
  <w:comment w:id="21" w:author="Verena Bonnet" w:date="2013-06-07T17:55:00Z" w:initials="VB">
    <w:p w:rsidR="00491EB1" w:rsidRDefault="00491EB1">
      <w:pPr>
        <w:pStyle w:val="Commentaire"/>
      </w:pPr>
      <w:r>
        <w:rPr>
          <w:rStyle w:val="Marquedecommentaire"/>
        </w:rPr>
        <w:annotationRef/>
      </w:r>
      <w:proofErr w:type="gramStart"/>
      <w:r w:rsidR="000262B6">
        <w:rPr>
          <w:rStyle w:val="Marquedecommentaire"/>
        </w:rPr>
        <w:t>ok</w:t>
      </w:r>
      <w:proofErr w:type="gramEnd"/>
    </w:p>
  </w:comment>
  <w:comment w:id="22" w:author="Verena Bonnet" w:date="2013-06-07T17:56:00Z" w:initials="VB">
    <w:p w:rsidR="00307117" w:rsidRDefault="00307117">
      <w:pPr>
        <w:pStyle w:val="Commentaire"/>
      </w:pPr>
      <w:r>
        <w:rPr>
          <w:rStyle w:val="Marquedecommentaire"/>
        </w:rPr>
        <w:annotationRef/>
      </w:r>
      <w:r>
        <w:t>RAS</w:t>
      </w:r>
    </w:p>
  </w:comment>
  <w:comment w:id="23" w:author="Verena Bonnet" w:date="2013-06-07T17:56:00Z" w:initials="VB">
    <w:p w:rsidR="007612E6" w:rsidRPr="007612E6" w:rsidRDefault="007612E6">
      <w:pPr>
        <w:pStyle w:val="Commentaire"/>
        <w:rPr>
          <w:b/>
          <w:sz w:val="48"/>
          <w:szCs w:val="48"/>
        </w:rPr>
      </w:pPr>
      <w:r>
        <w:rPr>
          <w:rStyle w:val="Marquedecommentaire"/>
        </w:rPr>
        <w:annotationRef/>
      </w:r>
      <w:r w:rsidRPr="007612E6">
        <w:rPr>
          <w:b/>
          <w:sz w:val="48"/>
          <w:szCs w:val="48"/>
        </w:rPr>
        <w:t>OUI</w:t>
      </w:r>
    </w:p>
  </w:comment>
  <w:comment w:id="24" w:author="Verena Bonnet" w:date="2013-06-07T17:57:00Z" w:initials="VB">
    <w:p w:rsidR="002B6B1D" w:rsidRDefault="002B6B1D">
      <w:pPr>
        <w:pStyle w:val="Commentaire"/>
      </w:pPr>
      <w:r>
        <w:rPr>
          <w:rStyle w:val="Marquedecommentaire"/>
        </w:rPr>
        <w:annotationRef/>
      </w:r>
      <w:r>
        <w:t>Ok pour l’état</w:t>
      </w:r>
    </w:p>
  </w:comment>
  <w:comment w:id="25" w:author="Verena Bonnet" w:date="2013-06-07T17:57:00Z" w:initials="VB">
    <w:p w:rsidR="002B6B1D" w:rsidRDefault="002B6B1D">
      <w:pPr>
        <w:pStyle w:val="Commentaire"/>
      </w:pPr>
      <w:r>
        <w:rPr>
          <w:rStyle w:val="Marquedecommentaire"/>
        </w:rPr>
        <w:annotationRef/>
      </w:r>
      <w:r>
        <w:t>Sujet très peu clair attention discussion de clarification nécessaire</w:t>
      </w:r>
    </w:p>
  </w:comment>
  <w:comment w:id="26" w:author="Verena Bonnet" w:date="2013-06-07T17:58:00Z" w:initials="VB">
    <w:p w:rsidR="00BF59D1" w:rsidRDefault="00BF59D1">
      <w:pPr>
        <w:pStyle w:val="Commentaire"/>
      </w:pPr>
      <w:r>
        <w:rPr>
          <w:rStyle w:val="Marquedecommentaire"/>
        </w:rPr>
        <w:annotationRef/>
      </w:r>
      <w:r>
        <w:t xml:space="preserve">(PR) Droit de « call » pour UKAD </w:t>
      </w:r>
      <w:r>
        <w:sym w:font="Wingdings" w:char="F0E8"/>
      </w:r>
      <w:r>
        <w:t xml:space="preserve"> ok ++</w:t>
      </w:r>
    </w:p>
  </w:comment>
  <w:comment w:id="27" w:author="Verena Bonnet" w:date="2013-06-07T18:00:00Z" w:initials="VB">
    <w:p w:rsidR="00BF59D1" w:rsidRDefault="00BF59D1">
      <w:pPr>
        <w:pStyle w:val="Commentaire"/>
      </w:pPr>
      <w:r>
        <w:rPr>
          <w:rStyle w:val="Marquedecommentaire"/>
        </w:rPr>
        <w:annotationRef/>
      </w:r>
      <w:r>
        <w:t>En global 9 ans d’inhabilité   + 2 ans de « call » UKAD + 2 ans de « put » CA ou ADEME</w:t>
      </w:r>
    </w:p>
    <w:p w:rsidR="004D329B" w:rsidRDefault="004D329B">
      <w:pPr>
        <w:pStyle w:val="Commentaire"/>
      </w:pPr>
      <w:r>
        <w:t>Donc sécurisation sur 15 ans</w:t>
      </w:r>
    </w:p>
  </w:comment>
  <w:comment w:id="28" w:author="Verena Bonnet" w:date="2013-06-07T18:00:00Z" w:initials="VB">
    <w:p w:rsidR="00A04EE0" w:rsidRDefault="00A04EE0">
      <w:pPr>
        <w:pStyle w:val="Commentaire"/>
      </w:pPr>
      <w:r>
        <w:rPr>
          <w:rStyle w:val="Marquedecommentaire"/>
        </w:rPr>
        <w:annotationRef/>
      </w:r>
      <w:r>
        <w:t xml:space="preserve">200 points = 2 % à baisser dans la </w:t>
      </w:r>
      <w:proofErr w:type="spellStart"/>
      <w:r>
        <w:t>négo</w:t>
      </w:r>
      <w:proofErr w:type="spellEnd"/>
    </w:p>
  </w:comment>
  <w:comment w:id="29" w:author="Verena Bonnet" w:date="2013-06-07T18:03:00Z" w:initials="VB">
    <w:p w:rsidR="00C41C82" w:rsidRDefault="00C41C82">
      <w:pPr>
        <w:pStyle w:val="Commentaire"/>
      </w:pPr>
      <w:r>
        <w:rPr>
          <w:rStyle w:val="Marquedecommentaire"/>
        </w:rPr>
        <w:annotationRef/>
      </w:r>
      <w:r>
        <w:t>PR + PDL  définir précisément les notions d’échec technologique et d’absence de marché</w:t>
      </w:r>
    </w:p>
  </w:comment>
  <w:comment w:id="30" w:author="Verena Bonnet" w:date="2013-06-07T18:01:00Z" w:initials="VB">
    <w:p w:rsidR="00A04EE0" w:rsidRDefault="00A04EE0">
      <w:pPr>
        <w:pStyle w:val="Commentaire"/>
      </w:pPr>
      <w:r>
        <w:rPr>
          <w:rStyle w:val="Marquedecommentaire"/>
        </w:rPr>
        <w:annotationRef/>
      </w:r>
      <w:proofErr w:type="gramStart"/>
      <w:r>
        <w:t>ok</w:t>
      </w:r>
      <w:proofErr w:type="gramEnd"/>
    </w:p>
  </w:comment>
  <w:comment w:id="31" w:author="Verena Bonnet" w:date="2013-06-07T18:01:00Z" w:initials="VB">
    <w:p w:rsidR="00A04EE0" w:rsidRDefault="00A04EE0">
      <w:pPr>
        <w:pStyle w:val="Commentaire"/>
      </w:pPr>
      <w:r>
        <w:rPr>
          <w:rStyle w:val="Marquedecommentaire"/>
        </w:rPr>
        <w:annotationRef/>
      </w:r>
      <w:proofErr w:type="gramStart"/>
      <w:r>
        <w:t>ok</w:t>
      </w:r>
      <w:proofErr w:type="gramEnd"/>
    </w:p>
  </w:comment>
  <w:comment w:id="32" w:author="Verena Bonnet" w:date="2013-06-07T18:01:00Z" w:initials="VB">
    <w:p w:rsidR="00C716E4" w:rsidRDefault="00C716E4">
      <w:pPr>
        <w:pStyle w:val="Commentaire"/>
      </w:pPr>
      <w:r>
        <w:rPr>
          <w:rStyle w:val="Marquedecommentaire"/>
        </w:rPr>
        <w:annotationRef/>
      </w:r>
      <w:r>
        <w:t>Doublon</w:t>
      </w:r>
    </w:p>
  </w:comment>
  <w:comment w:id="33" w:author="Verena Bonnet" w:date="2013-06-07T18:03:00Z" w:initials="VB">
    <w:p w:rsidR="00C716E4" w:rsidRDefault="00C716E4">
      <w:pPr>
        <w:pStyle w:val="Commentaire"/>
      </w:pPr>
      <w:r>
        <w:rPr>
          <w:rStyle w:val="Marquedecommentaire"/>
        </w:rPr>
        <w:annotationRef/>
      </w:r>
      <w:r>
        <w:t>PR + PDL  définir précisément les notions d’échec technologique et d’absence de marché</w:t>
      </w:r>
    </w:p>
  </w:comment>
  <w:comment w:id="34" w:author="Verena Bonnet" w:date="2013-06-07T18:04:00Z" w:initials="VB">
    <w:p w:rsidR="004C6FC7" w:rsidRDefault="004C6FC7">
      <w:pPr>
        <w:pStyle w:val="Commentaire"/>
      </w:pPr>
      <w:r>
        <w:rPr>
          <w:rStyle w:val="Marquedecommentaire"/>
        </w:rPr>
        <w:annotationRef/>
      </w:r>
      <w:r>
        <w:t>PMN + PR Nécessité d’amender le pacte d’actionnaires actuel pour qu’AD puisse obtenir la majorité d’UKAD en cas de changement d’actionnaires chez UKTMP</w:t>
      </w:r>
    </w:p>
  </w:comment>
  <w:comment w:id="35" w:author="Verena Bonnet" w:date="2013-06-07T18:05:00Z" w:initials="VB">
    <w:p w:rsidR="004E5AEE" w:rsidRDefault="004E5AEE">
      <w:pPr>
        <w:pStyle w:val="Commentaire"/>
      </w:pPr>
      <w:r>
        <w:rPr>
          <w:rStyle w:val="Marquedecommentaire"/>
        </w:rPr>
        <w:annotationRef/>
      </w:r>
      <w:r>
        <w:t>Ok, EcoTitanium/UKAD seraient protégés sur les 15 premières années</w:t>
      </w:r>
    </w:p>
  </w:comment>
  <w:comment w:id="36" w:author="Verena Bonnet" w:date="2013-06-07T18:06:00Z" w:initials="VB">
    <w:p w:rsidR="005F5FB5" w:rsidRDefault="005F5FB5">
      <w:pPr>
        <w:pStyle w:val="Commentaire"/>
      </w:pPr>
      <w:r>
        <w:rPr>
          <w:rStyle w:val="Marquedecommentaire"/>
        </w:rPr>
        <w:annotationRef/>
      </w:r>
      <w:r>
        <w:t xml:space="preserve">(PR) pourquoi pas à voir sur l’aspect juridique </w:t>
      </w:r>
    </w:p>
  </w:comment>
  <w:comment w:id="37" w:author="Verena Bonnet" w:date="2013-06-07T18:06:00Z" w:initials="VB">
    <w:p w:rsidR="005F5FB5" w:rsidRDefault="005F5FB5">
      <w:pPr>
        <w:pStyle w:val="Commentaire"/>
      </w:pPr>
      <w:r>
        <w:rPr>
          <w:rStyle w:val="Marquedecommentaire"/>
        </w:rPr>
        <w:annotationRef/>
      </w:r>
      <w:r>
        <w:t>Ok pour l’état</w:t>
      </w:r>
    </w:p>
  </w:comment>
  <w:comment w:id="38" w:author="Verena Bonnet" w:date="2013-06-07T18:07:00Z" w:initials="VB">
    <w:p w:rsidR="00EC1775" w:rsidRDefault="00EC1775">
      <w:pPr>
        <w:pStyle w:val="Commentaire"/>
      </w:pPr>
      <w:r>
        <w:rPr>
          <w:rStyle w:val="Marquedecommentaire"/>
        </w:rPr>
        <w:annotationRef/>
      </w:r>
      <w:proofErr w:type="gramStart"/>
      <w:r>
        <w:t>ok</w:t>
      </w:r>
      <w:proofErr w:type="gramEnd"/>
    </w:p>
  </w:comment>
  <w:comment w:id="39" w:author="Verena Bonnet" w:date="2013-06-07T18:08:00Z" w:initials="VB">
    <w:p w:rsidR="00EC1775" w:rsidRDefault="00EC1775">
      <w:pPr>
        <w:pStyle w:val="Commentaire"/>
      </w:pPr>
      <w:r>
        <w:rPr>
          <w:rStyle w:val="Marquedecommentaire"/>
        </w:rPr>
        <w:annotationRef/>
      </w:r>
      <w:r>
        <w:t>PR ok</w:t>
      </w:r>
    </w:p>
  </w:comment>
  <w:comment w:id="40" w:author="Verena Bonnet" w:date="2013-06-07T18:08:00Z" w:initials="VB">
    <w:p w:rsidR="000E13CF" w:rsidRDefault="000E13CF">
      <w:pPr>
        <w:pStyle w:val="Commentaire"/>
      </w:pPr>
      <w:r>
        <w:rPr>
          <w:rStyle w:val="Marquedecommentaire"/>
        </w:rPr>
        <w:annotationRef/>
      </w:r>
      <w:proofErr w:type="gramStart"/>
      <w:r>
        <w:t>ok</w:t>
      </w:r>
      <w:proofErr w:type="gramEnd"/>
    </w:p>
  </w:comment>
  <w:comment w:id="41" w:author="Verena Bonnet" w:date="2013-06-07T18:10:00Z" w:initials="VB">
    <w:p w:rsidR="00D45A46" w:rsidRDefault="00D45A46">
      <w:pPr>
        <w:pStyle w:val="Commentaire"/>
      </w:pPr>
      <w:r>
        <w:rPr>
          <w:rStyle w:val="Marquedecommentaire"/>
        </w:rPr>
        <w:annotationRef/>
      </w:r>
      <w:proofErr w:type="gramStart"/>
      <w:r>
        <w:t>à</w:t>
      </w:r>
      <w:proofErr w:type="gramEnd"/>
      <w:r>
        <w:t xml:space="preserve"> discuter, on peut faire sauter la clause de non concurrence si et seulement si il y a droit de regard et cooptation par les actionnaires restants du nouvel entrant</w:t>
      </w:r>
    </w:p>
  </w:comment>
  <w:comment w:id="42" w:author="Verena Bonnet" w:date="2013-06-07T18:12:00Z" w:initials="VB">
    <w:p w:rsidR="00322423" w:rsidRDefault="00322423">
      <w:pPr>
        <w:pStyle w:val="Commentaire"/>
      </w:pPr>
      <w:r>
        <w:rPr>
          <w:rStyle w:val="Marquedecommentaire"/>
        </w:rPr>
        <w:annotationRef/>
      </w:r>
      <w:r w:rsidR="007B1CC1">
        <w:t>PR</w:t>
      </w:r>
      <w:r>
        <w:t xml:space="preserve"> </w:t>
      </w:r>
      <w:r>
        <w:sym w:font="Wingdings" w:char="F0E8"/>
      </w:r>
      <w:r>
        <w:t xml:space="preserve"> se protéger</w:t>
      </w:r>
    </w:p>
  </w:comment>
  <w:comment w:id="43" w:author="Verena Bonnet" w:date="2013-06-07T18:12:00Z" w:initials="VB">
    <w:p w:rsidR="007B1CC1" w:rsidRDefault="007B1CC1">
      <w:pPr>
        <w:pStyle w:val="Commentaire"/>
      </w:pPr>
      <w:r>
        <w:rPr>
          <w:rStyle w:val="Marquedecommentaire"/>
        </w:rPr>
        <w:annotationRef/>
      </w:r>
      <w:proofErr w:type="gramStart"/>
      <w:r>
        <w:t>ok</w:t>
      </w:r>
      <w:proofErr w:type="gramEnd"/>
    </w:p>
  </w:comment>
  <w:comment w:id="44" w:author="Verena Bonnet" w:date="2013-06-07T18:17:00Z" w:initials="VB">
    <w:p w:rsidR="007B1CC1" w:rsidRDefault="007B1CC1">
      <w:pPr>
        <w:pStyle w:val="Commentaire"/>
      </w:pPr>
      <w:r>
        <w:rPr>
          <w:rStyle w:val="Marquedecommentaire"/>
        </w:rPr>
        <w:annotationRef/>
      </w:r>
      <w:r>
        <w:t xml:space="preserve">PR + PMN + PDL : </w:t>
      </w:r>
      <w:r w:rsidR="00AA1955">
        <w:t>le choix des commissaires aux comptes est approuvé. Dans ce cas nous ne voyons pas la nécessité d’auditer des auditeurs.</w:t>
      </w:r>
      <w:r>
        <w:t xml:space="preserve"> </w:t>
      </w:r>
    </w:p>
  </w:comment>
  <w:comment w:id="45" w:author="Verena Bonnet" w:date="2013-06-07T18:18:00Z" w:initials="VB">
    <w:p w:rsidR="00A8502E" w:rsidRDefault="00A8502E">
      <w:pPr>
        <w:pStyle w:val="Commentaire"/>
      </w:pPr>
      <w:r>
        <w:rPr>
          <w:rStyle w:val="Marquedecommentaire"/>
        </w:rPr>
        <w:annotationRef/>
      </w:r>
      <w:r>
        <w:t xml:space="preserve">Voir remarque </w:t>
      </w:r>
      <w:proofErr w:type="spellStart"/>
      <w:r>
        <w:t>précédetne</w:t>
      </w:r>
      <w:proofErr w:type="spellEnd"/>
    </w:p>
  </w:comment>
  <w:comment w:id="46" w:author="Verena Bonnet" w:date="2013-06-07T18:19:00Z" w:initials="VB">
    <w:p w:rsidR="00A8502E" w:rsidRDefault="00A8502E">
      <w:pPr>
        <w:pStyle w:val="Commentaire"/>
      </w:pPr>
      <w:r>
        <w:rPr>
          <w:rStyle w:val="Marquedecommentaire"/>
        </w:rPr>
        <w:annotationRef/>
      </w:r>
      <w:r>
        <w:t>Ok sur principe mais discuter de la définition du coût et du taux (30 % du coût direct cible après période de démarrage ok)</w:t>
      </w:r>
    </w:p>
  </w:comment>
  <w:comment w:id="47" w:author="Verena Bonnet" w:date="2013-06-07T18:20:00Z" w:initials="VB">
    <w:p w:rsidR="00BC07AF" w:rsidRDefault="00BC07AF">
      <w:pPr>
        <w:pStyle w:val="Commentaire"/>
      </w:pPr>
      <w:r>
        <w:rPr>
          <w:rStyle w:val="Marquedecommentaire"/>
        </w:rPr>
        <w:annotationRef/>
      </w:r>
      <w:r>
        <w:t xml:space="preserve">PR </w:t>
      </w:r>
      <w:r>
        <w:sym w:font="Wingdings" w:char="F0E8"/>
      </w:r>
      <w:r>
        <w:t>Ok pour les ministères de tutelles mais pas le Parlement</w:t>
      </w:r>
    </w:p>
  </w:comment>
  <w:comment w:id="48" w:author="Verena Bonnet" w:date="2013-06-07T18:21:00Z" w:initials="VB">
    <w:p w:rsidR="00755F32" w:rsidRDefault="00755F32">
      <w:pPr>
        <w:pStyle w:val="Commentaire"/>
      </w:pPr>
      <w:r>
        <w:rPr>
          <w:rStyle w:val="Marquedecommentaire"/>
        </w:rPr>
        <w:annotationRef/>
      </w:r>
      <w:r w:rsidR="00932F6E">
        <w:t xml:space="preserve">PR </w:t>
      </w:r>
      <w:r w:rsidR="00932F6E">
        <w:sym w:font="Wingdings" w:char="F0E8"/>
      </w:r>
      <w:r>
        <w:t xml:space="preserve">Liste et seuil des possibilités de communication à définir : industriel </w:t>
      </w:r>
      <w:r>
        <w:sym w:font="Wingdings" w:char="F0E8"/>
      </w:r>
      <w:r>
        <w:t xml:space="preserve"> UKAD</w:t>
      </w:r>
    </w:p>
    <w:p w:rsidR="00755F32" w:rsidRDefault="00755F32">
      <w:pPr>
        <w:pStyle w:val="Commentaire"/>
      </w:pPr>
      <w:r>
        <w:t xml:space="preserve">Si caractère social ou sociétal à rayonnement national </w:t>
      </w:r>
      <w:r>
        <w:sym w:font="Wingdings" w:char="F0E8"/>
      </w:r>
      <w:r>
        <w:t xml:space="preserve"> validation par les actionnaires</w:t>
      </w:r>
    </w:p>
  </w:comment>
  <w:comment w:id="49" w:author="Verena Bonnet" w:date="2013-06-07T18:23:00Z" w:initials="VB">
    <w:p w:rsidR="002C0212" w:rsidRDefault="002C0212">
      <w:pPr>
        <w:pStyle w:val="Commentaire"/>
      </w:pPr>
      <w:r>
        <w:rPr>
          <w:rStyle w:val="Marquedecommentaire"/>
        </w:rPr>
        <w:annotationRef/>
      </w:r>
      <w:r>
        <w:t xml:space="preserve">PR + PDL </w:t>
      </w:r>
      <w:r>
        <w:sym w:font="Wingdings" w:char="F0E8"/>
      </w:r>
      <w:r>
        <w:t xml:space="preserve"> à discuter précisément selon la nature des propriétés intellectuelles. En particulier les échanges potentiels avec UKTMP (refusion, éponges, éléments d’addition…) et AD spécification lingot…</w:t>
      </w:r>
    </w:p>
  </w:comment>
  <w:comment w:id="50" w:author="Verena Bonnet" w:date="2013-06-07T18:24:00Z" w:initials="VB">
    <w:p w:rsidR="00E109E5" w:rsidRDefault="00E109E5">
      <w:pPr>
        <w:pStyle w:val="Commentaire"/>
      </w:pPr>
      <w:r>
        <w:rPr>
          <w:rStyle w:val="Marquedecommentaire"/>
        </w:rPr>
        <w:annotationRef/>
      </w:r>
      <w:r>
        <w:t>Écoute</w:t>
      </w:r>
    </w:p>
  </w:comment>
  <w:comment w:id="51" w:author="Verena Bonnet" w:date="2013-06-07T18:24:00Z" w:initials="VB">
    <w:p w:rsidR="0028062B" w:rsidRDefault="0028062B">
      <w:pPr>
        <w:pStyle w:val="Commentaire"/>
      </w:pPr>
      <w:r>
        <w:rPr>
          <w:rStyle w:val="Marquedecommentaire"/>
        </w:rPr>
        <w:annotationRef/>
      </w:r>
      <w:proofErr w:type="gramStart"/>
      <w:r>
        <w:t>ok</w:t>
      </w:r>
      <w:proofErr w:type="gramEnd"/>
    </w:p>
  </w:comment>
  <w:comment w:id="52" w:author="Verena Bonnet" w:date="2013-06-07T18:24:00Z" w:initials="VB">
    <w:p w:rsidR="0028062B" w:rsidRDefault="0028062B">
      <w:pPr>
        <w:pStyle w:val="Commentaire"/>
      </w:pPr>
      <w:r>
        <w:rPr>
          <w:rStyle w:val="Marquedecommentaire"/>
        </w:rPr>
        <w:annotationRef/>
      </w:r>
      <w:r>
        <w:t>PR à discuter</w:t>
      </w:r>
    </w:p>
  </w:comment>
  <w:comment w:id="53" w:author="Verena Bonnet" w:date="2013-06-07T18:25:00Z" w:initials="VB">
    <w:p w:rsidR="00F00852" w:rsidRDefault="00F00852">
      <w:pPr>
        <w:pStyle w:val="Commentaire"/>
      </w:pPr>
      <w:r>
        <w:rPr>
          <w:rStyle w:val="Marquedecommentaire"/>
        </w:rPr>
        <w:annotationRef/>
      </w:r>
      <w:r>
        <w:t>Ok pour la formule ADEME. Pour la formule CA, la formule devient 1.95</w:t>
      </w:r>
    </w:p>
  </w:comment>
  <w:comment w:id="54" w:author="Verena Bonnet" w:date="2013-06-07T18:26:00Z" w:initials="VB">
    <w:p w:rsidR="00F00852" w:rsidRDefault="00F00852">
      <w:pPr>
        <w:pStyle w:val="Commentaire"/>
      </w:pPr>
      <w:r>
        <w:rPr>
          <w:rStyle w:val="Marquedecommentaire"/>
        </w:rPr>
        <w:annotationRef/>
      </w:r>
      <w:r>
        <w:t>Arrondir à 4000</w:t>
      </w:r>
    </w:p>
  </w:comment>
  <w:comment w:id="55" w:author="Verena Bonnet" w:date="2013-06-07T18:26:00Z" w:initials="VB">
    <w:p w:rsidR="00F00852" w:rsidRDefault="00F00852">
      <w:pPr>
        <w:pStyle w:val="Commentaire"/>
      </w:pPr>
      <w:r>
        <w:rPr>
          <w:rStyle w:val="Marquedecommentaire"/>
        </w:rPr>
        <w:annotationRef/>
      </w:r>
      <w:r>
        <w:t>Tous ces points sont à discuter.</w:t>
      </w:r>
    </w:p>
    <w:p w:rsidR="00F00852" w:rsidRDefault="00F00852">
      <w:pPr>
        <w:pStyle w:val="Commentaire"/>
      </w:pPr>
      <w:r>
        <w:t>On surligne en rouge ceux qui méritent un élargissement ou des précisions.</w:t>
      </w:r>
    </w:p>
  </w:comment>
  <w:comment w:id="57" w:author="Verena Bonnet" w:date="2013-06-07T18:27:00Z" w:initials="VB">
    <w:p w:rsidR="00F00852" w:rsidRDefault="00F00852">
      <w:pPr>
        <w:pStyle w:val="Commentaire"/>
      </w:pPr>
      <w:r>
        <w:rPr>
          <w:rStyle w:val="Marquedecommentaire"/>
        </w:rPr>
        <w:annotationRef/>
      </w:r>
      <w:r>
        <w:t>?</w:t>
      </w:r>
    </w:p>
  </w:comment>
  <w:comment w:id="58" w:author="Verena Bonnet" w:date="2013-06-07T18:27:00Z" w:initials="VB">
    <w:p w:rsidR="00F00852" w:rsidRDefault="00F00852">
      <w:pPr>
        <w:pStyle w:val="Commentaire"/>
      </w:pPr>
      <w:r>
        <w:rPr>
          <w:rStyle w:val="Marquedecommentaire"/>
        </w:rPr>
        <w:annotationRef/>
      </w:r>
      <w:r>
        <w:t>A discuter taux fixe + K x inflation</w:t>
      </w:r>
    </w:p>
  </w:comment>
  <w:comment w:id="59" w:author="Verena Bonnet" w:date="2013-06-07T18:28:00Z" w:initials="VB">
    <w:p w:rsidR="00F00852" w:rsidRDefault="00F00852">
      <w:pPr>
        <w:pStyle w:val="Commentaire"/>
      </w:pPr>
      <w:r>
        <w:rPr>
          <w:rStyle w:val="Marquedecommentaire"/>
        </w:rPr>
        <w:annotationRef/>
      </w:r>
      <w:r>
        <w:rPr>
          <w:rStyle w:val="Marquedecommentaire"/>
        </w:rPr>
        <w:annotationRef/>
      </w:r>
      <w:r>
        <w:t>Hors investissement initial</w:t>
      </w:r>
    </w:p>
  </w:comment>
  <w:comment w:id="60" w:author="Verena Bonnet" w:date="2013-06-07T18:28:00Z" w:initials="VB">
    <w:p w:rsidR="00F00852" w:rsidRDefault="00F00852">
      <w:pPr>
        <w:pStyle w:val="Commentaire"/>
      </w:pPr>
      <w:r>
        <w:rPr>
          <w:rStyle w:val="Marquedecommentaire"/>
        </w:rPr>
        <w:annotationRef/>
      </w:r>
      <w:r>
        <w:t>Hors investissement initial</w:t>
      </w:r>
    </w:p>
  </w:comment>
  <w:comment w:id="61" w:author="Verena Bonnet" w:date="2013-06-07T18:29:00Z" w:initials="VB">
    <w:p w:rsidR="006519F8" w:rsidRDefault="006519F8">
      <w:pPr>
        <w:pStyle w:val="Commentaire"/>
      </w:pPr>
      <w:r>
        <w:rPr>
          <w:rStyle w:val="Marquedecommentaire"/>
        </w:rPr>
        <w:annotationRef/>
      </w:r>
      <w:r>
        <w:t>Définir le champ, possibilité d’emprunt court terme trésorerie sans limite…</w:t>
      </w:r>
    </w:p>
  </w:comment>
  <w:comment w:id="62" w:author="Verena Bonnet" w:date="2013-06-07T18:30:00Z" w:initials="VB">
    <w:p w:rsidR="00042808" w:rsidRDefault="00042808">
      <w:pPr>
        <w:pStyle w:val="Commentaire"/>
      </w:pPr>
      <w:r>
        <w:rPr>
          <w:rStyle w:val="Marquedecommentaire"/>
        </w:rPr>
        <w:annotationRef/>
      </w:r>
      <w:r>
        <w:t>Non, possibilité d’action commerciale UKAD + EcoTitanium dans un cadre convenu</w:t>
      </w:r>
    </w:p>
  </w:comment>
  <w:comment w:id="63" w:author="Verena Bonnet" w:date="2013-06-07T18:30:00Z" w:initials="VB">
    <w:p w:rsidR="00042808" w:rsidRDefault="00042808">
      <w:pPr>
        <w:pStyle w:val="Commentaire"/>
      </w:pPr>
      <w:r>
        <w:rPr>
          <w:rStyle w:val="Marquedecommentaire"/>
        </w:rPr>
        <w:annotationRef/>
      </w:r>
      <w:r>
        <w:t>Non, possibilité d’action commerciale UKAD + EcoTitanium dans un cadre convenu</w:t>
      </w:r>
    </w:p>
  </w:comment>
  <w:comment w:id="65" w:author="Verena Bonnet" w:date="2013-06-07T18:31:00Z" w:initials="VB">
    <w:p w:rsidR="00D90740" w:rsidRDefault="00D90740">
      <w:pPr>
        <w:pStyle w:val="Commentaire"/>
      </w:pPr>
      <w:r>
        <w:rPr>
          <w:rStyle w:val="Marquedecommentaire"/>
        </w:rPr>
        <w:annotationRef/>
      </w:r>
      <w:r>
        <w:t>Non pas de rémunération ?</w:t>
      </w:r>
    </w:p>
  </w:comment>
  <w:comment w:id="66" w:author="Verena Bonnet" w:date="2013-06-07T18:30:00Z" w:initials="VB">
    <w:p w:rsidR="00D90740" w:rsidRDefault="00D90740">
      <w:pPr>
        <w:pStyle w:val="Commentaire"/>
      </w:pPr>
      <w:r>
        <w:rPr>
          <w:rStyle w:val="Marquedecommentaire"/>
        </w:rPr>
        <w:annotationRef/>
      </w:r>
      <w:proofErr w:type="spellStart"/>
      <w:r>
        <w:t>Cf</w:t>
      </w:r>
      <w:proofErr w:type="spellEnd"/>
      <w:r>
        <w:t xml:space="preserve"> remarque sur audit financier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5BF" w:rsidRDefault="007335BF" w:rsidP="00DA222B">
      <w:r>
        <w:separator/>
      </w:r>
    </w:p>
  </w:endnote>
  <w:endnote w:type="continuationSeparator" w:id="0">
    <w:p w:rsidR="007335BF" w:rsidRDefault="007335BF" w:rsidP="00DA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BF" w:rsidRDefault="007335B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BF" w:rsidRDefault="007335BF" w:rsidP="00EF568D">
    <w:pPr>
      <w:pStyle w:val="Pieddepage"/>
      <w:pBdr>
        <w:top w:val="thinThickSmallGap" w:sz="12" w:space="8" w:color="4F81BD" w:themeColor="accent1"/>
      </w:pBdr>
      <w:rPr>
        <w:rFonts w:asciiTheme="majorHAnsi" w:hAnsiTheme="majorHAnsi"/>
      </w:rPr>
    </w:pPr>
    <w:r>
      <w:rPr>
        <w:rFonts w:asciiTheme="majorHAnsi" w:hAnsiTheme="majorHAnsi"/>
      </w:rPr>
      <w:ptab w:relativeTo="margin" w:alignment="right" w:leader="none"/>
    </w:r>
    <w:r w:rsidRPr="00AD3A86">
      <w:t xml:space="preserve">Page </w:t>
    </w:r>
    <w:r>
      <w:fldChar w:fldCharType="begin"/>
    </w:r>
    <w:r>
      <w:instrText xml:space="preserve"> PAGE   \* MERGEFORMAT </w:instrText>
    </w:r>
    <w:r>
      <w:fldChar w:fldCharType="separate"/>
    </w:r>
    <w:r w:rsidR="00D90740">
      <w:rPr>
        <w:noProof/>
      </w:rPr>
      <w:t>37</w:t>
    </w:r>
    <w:r>
      <w:rPr>
        <w:noProof/>
      </w:rPr>
      <w:fldChar w:fldCharType="end"/>
    </w:r>
    <w:r w:rsidRPr="00AD3A86">
      <w:t>/</w:t>
    </w:r>
    <w:r>
      <w:fldChar w:fldCharType="begin"/>
    </w:r>
    <w:r>
      <w:instrText xml:space="preserve"> NUMPAGES  \# "# ##0" \* Arabic  \* MERGEFORMAT </w:instrText>
    </w:r>
    <w:r>
      <w:fldChar w:fldCharType="separate"/>
    </w:r>
    <w:r w:rsidR="00D90740">
      <w:rPr>
        <w:noProof/>
      </w:rPr>
      <w:t>37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BF" w:rsidRDefault="007335BF" w:rsidP="00F13E0D">
    <w:pPr>
      <w:pStyle w:val="Pieddepage"/>
      <w:jc w:val="left"/>
    </w:pPr>
    <w:fldSimple w:instr=" DOCPROPERTY  FooterRef  \* MERGEFORMAT ">
      <w:r w:rsidR="000620DF">
        <w:t>##</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5BF" w:rsidRDefault="007335BF" w:rsidP="00DA222B">
      <w:r>
        <w:separator/>
      </w:r>
    </w:p>
  </w:footnote>
  <w:footnote w:type="continuationSeparator" w:id="0">
    <w:p w:rsidR="007335BF" w:rsidRDefault="007335BF" w:rsidP="00DA222B">
      <w:r>
        <w:continuationSeparator/>
      </w:r>
    </w:p>
  </w:footnote>
  <w:footnote w:id="1">
    <w:p w:rsidR="007335BF" w:rsidRPr="00302087" w:rsidRDefault="007335BF" w:rsidP="00B3601E">
      <w:pPr>
        <w:pStyle w:val="Notedebasdepage"/>
        <w:rPr>
          <w:rFonts w:asciiTheme="minorHAnsi" w:hAnsiTheme="minorHAnsi" w:cstheme="minorHAnsi"/>
        </w:rPr>
      </w:pPr>
      <w:r>
        <w:rPr>
          <w:rStyle w:val="Appelnotedebasdep"/>
        </w:rPr>
        <w:footnoteRef/>
      </w:r>
      <w:r>
        <w:t xml:space="preserve"> </w:t>
      </w:r>
      <w:r>
        <w:tab/>
      </w:r>
      <w:r w:rsidRPr="00302087">
        <w:rPr>
          <w:rFonts w:asciiTheme="minorHAnsi" w:hAnsiTheme="minorHAnsi" w:cstheme="minorHAnsi"/>
        </w:rPr>
        <w:t>Majorité des Assemblées générales extraordinaires (AGE) : 2/3 des voix +1 ; Majorité qualifiée du Comité de Surveillance : 3 membres sur 5 dont au moins 1 représentant d’UKAD et 1 représentant de l’ADEME</w:t>
      </w:r>
    </w:p>
  </w:footnote>
  <w:footnote w:id="2">
    <w:p w:rsidR="007335BF" w:rsidRDefault="007335BF" w:rsidP="00AA5B74">
      <w:pPr>
        <w:pStyle w:val="Notedebasdepage"/>
      </w:pPr>
      <w:r w:rsidRPr="00302087">
        <w:rPr>
          <w:rStyle w:val="Appelnotedebasdep"/>
          <w:rFonts w:asciiTheme="minorHAnsi" w:hAnsiTheme="minorHAnsi" w:cstheme="minorHAnsi"/>
        </w:rPr>
        <w:footnoteRef/>
      </w:r>
      <w:r w:rsidRPr="00302087">
        <w:rPr>
          <w:rFonts w:asciiTheme="minorHAnsi" w:hAnsiTheme="minorHAnsi" w:cstheme="minorHAnsi"/>
        </w:rPr>
        <w:t xml:space="preserve"> </w:t>
      </w:r>
      <w:r>
        <w:rPr>
          <w:rFonts w:asciiTheme="minorHAnsi" w:hAnsiTheme="minorHAnsi" w:cstheme="minorHAnsi"/>
        </w:rPr>
        <w:tab/>
      </w:r>
      <w:r w:rsidRPr="00302087">
        <w:rPr>
          <w:rFonts w:asciiTheme="minorHAnsi" w:hAnsiTheme="minorHAnsi" w:cstheme="minorHAnsi"/>
        </w:rPr>
        <w:t>P. + CS signifie : Président sur autorisation du CS</w:t>
      </w:r>
    </w:p>
  </w:footnote>
  <w:footnote w:id="3">
    <w:p w:rsidR="007335BF" w:rsidRDefault="007335BF" w:rsidP="00B94F54">
      <w:pPr>
        <w:pStyle w:val="Notedebasdepage"/>
      </w:pPr>
      <w:r>
        <w:rPr>
          <w:rStyle w:val="Appelnotedebasdep"/>
        </w:rPr>
        <w:footnoteRef/>
      </w:r>
      <w:r>
        <w:t xml:space="preserve"> </w:t>
      </w:r>
      <w:r>
        <w:tab/>
      </w:r>
      <w:r w:rsidRPr="00302087">
        <w:rPr>
          <w:rFonts w:asciiTheme="minorHAnsi" w:hAnsiTheme="minorHAnsi" w:cstheme="minorHAnsi"/>
        </w:rPr>
        <w:t>CS signifie : Comité de Surveillance</w:t>
      </w:r>
    </w:p>
  </w:footnote>
  <w:footnote w:id="4">
    <w:p w:rsidR="007335BF" w:rsidRDefault="007335BF" w:rsidP="00B50FA2">
      <w:pPr>
        <w:pStyle w:val="bulletpoint"/>
      </w:pPr>
      <w:r>
        <w:rPr>
          <w:rStyle w:val="Appelnotedebasdep"/>
        </w:rPr>
        <w:footnoteRef/>
      </w:r>
      <w:r>
        <w:t xml:space="preserve"> </w:t>
      </w:r>
      <w:r>
        <w:tab/>
      </w:r>
      <w:r w:rsidRPr="00302087">
        <w:t>Les membres nommés par l’associé concerné ne participent pas au vote</w:t>
      </w:r>
    </w:p>
  </w:footnote>
  <w:footnote w:id="5">
    <w:p w:rsidR="007335BF" w:rsidRDefault="007335BF" w:rsidP="00302087">
      <w:pPr>
        <w:pStyle w:val="Notedebasdepage"/>
      </w:pPr>
      <w:r>
        <w:rPr>
          <w:rStyle w:val="Appelnotedebasdep"/>
        </w:rPr>
        <w:footnoteRef/>
      </w:r>
      <w:r>
        <w:t xml:space="preserve"> </w:t>
      </w:r>
      <w:r>
        <w:tab/>
      </w:r>
      <w:r w:rsidRPr="00302087">
        <w:rPr>
          <w:rFonts w:asciiTheme="minorHAnsi" w:hAnsiTheme="minorHAnsi" w:cstheme="minorHAnsi"/>
        </w:rPr>
        <w:t>Les membres nommés par l’associé concerné ne participent pas au vote</w:t>
      </w:r>
    </w:p>
  </w:footnote>
  <w:footnote w:id="6">
    <w:p w:rsidR="007335BF" w:rsidRDefault="007335BF" w:rsidP="00B3601E">
      <w:pPr>
        <w:pStyle w:val="Notedebasdepage"/>
      </w:pPr>
      <w:r>
        <w:rPr>
          <w:rStyle w:val="Appelnotedebasdep"/>
        </w:rPr>
        <w:footnoteRef/>
      </w:r>
      <w:r>
        <w:t xml:space="preserve"> </w:t>
      </w:r>
      <w:r>
        <w:tab/>
      </w:r>
      <w:r w:rsidRPr="00302087">
        <w:rPr>
          <w:rFonts w:asciiTheme="minorHAnsi" w:hAnsiTheme="minorHAnsi" w:cstheme="minorHAnsi"/>
        </w:rPr>
        <w:t>Les membres nommés par l’associé concerné ne participent pas au vote</w:t>
      </w:r>
    </w:p>
  </w:footnote>
  <w:footnote w:id="7">
    <w:p w:rsidR="007335BF" w:rsidRDefault="007335BF">
      <w:pPr>
        <w:pStyle w:val="Notedebasdepage"/>
      </w:pPr>
      <w:r>
        <w:rPr>
          <w:rStyle w:val="Appelnotedebasdep"/>
        </w:rPr>
        <w:footnoteRef/>
      </w:r>
      <w:r>
        <w:t xml:space="preserve"> </w:t>
      </w:r>
      <w:r>
        <w:tab/>
      </w:r>
      <w:r w:rsidRPr="00302087">
        <w:rPr>
          <w:rFonts w:asciiTheme="minorHAnsi" w:hAnsiTheme="minorHAnsi" w:cstheme="minorHAnsi"/>
        </w:rPr>
        <w:t>Plan Stratégique ou Plan Moyen</w:t>
      </w:r>
      <w:r w:rsidRPr="007653EC">
        <w:rPr>
          <w:rFonts w:asciiTheme="minorHAnsi" w:hAnsiTheme="minorHAnsi" w:cstheme="minorHAnsi"/>
          <w:b/>
        </w:rPr>
        <w:t xml:space="preserve"> </w:t>
      </w:r>
      <w:r w:rsidRPr="00302087">
        <w:rPr>
          <w:rFonts w:asciiTheme="minorHAnsi" w:hAnsiTheme="minorHAnsi" w:cstheme="minorHAnsi"/>
        </w:rPr>
        <w:t>Terme, établi conformément aux pratiques d’Aubert &amp; Duval</w:t>
      </w:r>
    </w:p>
  </w:footnote>
  <w:footnote w:id="8">
    <w:p w:rsidR="007335BF" w:rsidRDefault="007335BF" w:rsidP="00B3601E">
      <w:pPr>
        <w:pStyle w:val="Notedebasdepage"/>
      </w:pPr>
      <w:r>
        <w:rPr>
          <w:rStyle w:val="Appelnotedebasdep"/>
        </w:rPr>
        <w:footnoteRef/>
      </w:r>
      <w:r>
        <w:t xml:space="preserve"> </w:t>
      </w:r>
      <w:r>
        <w:tab/>
      </w:r>
      <w:r>
        <w:rPr>
          <w:rFonts w:asciiTheme="minorHAnsi" w:hAnsiTheme="minorHAnsi" w:cstheme="minorHAnsi"/>
        </w:rPr>
        <w:t>Assemblée Générale extrao</w:t>
      </w:r>
      <w:r w:rsidRPr="00302087">
        <w:rPr>
          <w:rFonts w:asciiTheme="minorHAnsi" w:hAnsiTheme="minorHAnsi" w:cstheme="minorHAnsi"/>
        </w:rPr>
        <w:t>rdinaire</w:t>
      </w:r>
    </w:p>
  </w:footnote>
  <w:footnote w:id="9">
    <w:p w:rsidR="007335BF" w:rsidRDefault="007335BF">
      <w:pPr>
        <w:pStyle w:val="Notedebasdepage"/>
      </w:pPr>
      <w:r>
        <w:rPr>
          <w:rStyle w:val="Appelnotedebasdep"/>
        </w:rPr>
        <w:footnoteRef/>
      </w:r>
      <w:r>
        <w:t xml:space="preserve"> </w:t>
      </w:r>
      <w:r>
        <w:tab/>
      </w:r>
      <w:r w:rsidRPr="007653EC">
        <w:rPr>
          <w:rFonts w:asciiTheme="minorHAnsi" w:hAnsiTheme="minorHAnsi" w:cstheme="minorHAnsi"/>
        </w:rPr>
        <w:t>Assemblée générale ordinaire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BF" w:rsidRDefault="007335B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BF" w:rsidRDefault="007335B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BF" w:rsidRDefault="007335B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4384974"/>
    <w:lvl w:ilvl="0">
      <w:start w:val="1"/>
      <w:numFmt w:val="decimal"/>
      <w:pStyle w:val="Listenumros2"/>
      <w:lvlText w:val="%1."/>
      <w:lvlJc w:val="left"/>
      <w:pPr>
        <w:tabs>
          <w:tab w:val="num" w:pos="643"/>
        </w:tabs>
        <w:ind w:left="643" w:hanging="360"/>
      </w:pPr>
    </w:lvl>
  </w:abstractNum>
  <w:abstractNum w:abstractNumId="1">
    <w:nsid w:val="017B03F7"/>
    <w:multiLevelType w:val="hybridMultilevel"/>
    <w:tmpl w:val="8E5E2396"/>
    <w:lvl w:ilvl="0" w:tplc="9B92CB60">
      <w:numFmt w:val="bullet"/>
      <w:pStyle w:val="Retraitngatif"/>
      <w:lvlText w:val="-"/>
      <w:lvlJc w:val="left"/>
      <w:pPr>
        <w:ind w:left="-207" w:hanging="360"/>
      </w:pPr>
      <w:rPr>
        <w:rFonts w:ascii="Calibri" w:eastAsiaTheme="minorHAnsi" w:hAnsi="Calibri" w:cs="Calibr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nsid w:val="052E771A"/>
    <w:multiLevelType w:val="hybridMultilevel"/>
    <w:tmpl w:val="7AC8C6BC"/>
    <w:lvl w:ilvl="0" w:tplc="9B3AA724">
      <w:numFmt w:val="bullet"/>
      <w:lvlText w:val="-"/>
      <w:lvlJc w:val="left"/>
      <w:pPr>
        <w:ind w:left="-207" w:hanging="360"/>
      </w:pPr>
      <w:rPr>
        <w:rFonts w:ascii="Calibri" w:eastAsiaTheme="minorHAnsi" w:hAnsi="Calibri" w:cs="Calibr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
    <w:nsid w:val="0FE90E63"/>
    <w:multiLevelType w:val="hybridMultilevel"/>
    <w:tmpl w:val="E790363C"/>
    <w:lvl w:ilvl="0" w:tplc="730ABAA6">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3F42B5E"/>
    <w:multiLevelType w:val="hybridMultilevel"/>
    <w:tmpl w:val="C4EE8BBE"/>
    <w:lvl w:ilvl="0" w:tplc="7FBCDC2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BF18EB"/>
    <w:multiLevelType w:val="hybridMultilevel"/>
    <w:tmpl w:val="EFBC9890"/>
    <w:lvl w:ilvl="0" w:tplc="B748B68E">
      <w:numFmt w:val="bullet"/>
      <w:lvlText w:val="-"/>
      <w:lvlJc w:val="left"/>
      <w:pPr>
        <w:ind w:left="-207" w:hanging="360"/>
      </w:pPr>
      <w:rPr>
        <w:rFonts w:ascii="Calibri" w:eastAsiaTheme="minorHAnsi" w:hAnsi="Calibri" w:cs="Calibr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6">
    <w:nsid w:val="18385965"/>
    <w:multiLevelType w:val="hybridMultilevel"/>
    <w:tmpl w:val="69F4392C"/>
    <w:lvl w:ilvl="0" w:tplc="7FBCDC2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975314"/>
    <w:multiLevelType w:val="hybridMultilevel"/>
    <w:tmpl w:val="49E68D4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C7444A9"/>
    <w:multiLevelType w:val="multilevel"/>
    <w:tmpl w:val="954ABA6E"/>
    <w:lvl w:ilvl="0">
      <w:start w:val="1"/>
      <w:numFmt w:val="decimal"/>
      <w:pStyle w:val="Titre1"/>
      <w:isLgl/>
      <w:lvlText w:val="%1"/>
      <w:lvlJc w:val="left"/>
      <w:pPr>
        <w:tabs>
          <w:tab w:val="num" w:pos="125"/>
        </w:tabs>
        <w:ind w:left="0" w:firstLine="0"/>
      </w:pPr>
      <w:rPr>
        <w:rFonts w:asciiTheme="minorHAnsi" w:hAnsiTheme="minorHAnsi" w:hint="default"/>
        <w:b/>
        <w:bCs w:val="0"/>
        <w:i w:val="0"/>
        <w:iCs w:val="0"/>
        <w:caps w:val="0"/>
        <w:smallCaps w:val="0"/>
        <w:strike w:val="0"/>
        <w:dstrike w:val="0"/>
        <w:noProof w:val="0"/>
        <w:vanish w:val="0"/>
        <w:color w:val="0F243E" w:themeColor="text2" w:themeShade="8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69"/>
        </w:tabs>
        <w:ind w:left="69" w:hanging="69"/>
      </w:pPr>
      <w:rPr>
        <w:rFonts w:hint="default"/>
        <w:b/>
        <w:bCs w:val="0"/>
        <w:i w:val="0"/>
        <w:iCs w:val="0"/>
        <w:caps w:val="0"/>
        <w:smallCaps w:val="0"/>
        <w:strike w:val="0"/>
        <w:dstrike w:val="0"/>
        <w:noProof w:val="0"/>
        <w:vanish w:val="0"/>
        <w:color w:val="17365D" w:themeColor="text2" w:themeShade="BF"/>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69"/>
        </w:tabs>
        <w:ind w:left="69" w:hanging="69"/>
      </w:pPr>
      <w:rPr>
        <w:rFonts w:asciiTheme="minorHAnsi" w:hAnsiTheme="minorHAnsi" w:hint="default"/>
      </w:rPr>
    </w:lvl>
    <w:lvl w:ilvl="3">
      <w:start w:val="1"/>
      <w:numFmt w:val="decimal"/>
      <w:pStyle w:val="Titre4"/>
      <w:lvlText w:val="%1.%2.%3.%4."/>
      <w:lvlJc w:val="left"/>
      <w:pPr>
        <w:tabs>
          <w:tab w:val="num" w:pos="737"/>
        </w:tabs>
        <w:ind w:left="737" w:hanging="170"/>
      </w:pPr>
      <w:rPr>
        <w:b w:val="0"/>
        <w:bCs w:val="0"/>
        <w:i w:val="0"/>
        <w:iCs w:val="0"/>
        <w:caps w:val="0"/>
        <w:smallCaps w:val="0"/>
        <w:strike w:val="0"/>
        <w:dstrike w:val="0"/>
        <w:noProof w:val="0"/>
        <w:vanish w:val="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pStyle w:val="Titre5"/>
      <w:lvlText w:val="%5."/>
      <w:lvlJc w:val="left"/>
      <w:pPr>
        <w:tabs>
          <w:tab w:val="num" w:pos="907"/>
        </w:tabs>
        <w:ind w:left="907" w:hanging="170"/>
      </w:pPr>
      <w:rPr>
        <w:rFonts w:asciiTheme="minorHAnsi" w:hAnsiTheme="minorHAnsi" w:hint="default"/>
        <w:b w:val="0"/>
        <w:bCs w:val="0"/>
        <w:i w:val="0"/>
        <w:iCs w:val="0"/>
        <w:caps w:val="0"/>
        <w:strike w:val="0"/>
        <w:dstrike w:val="0"/>
        <w:noProof w:val="0"/>
        <w:vanish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Titre6"/>
      <w:lvlText w:val="%6."/>
      <w:lvlJc w:val="left"/>
      <w:pPr>
        <w:tabs>
          <w:tab w:val="num" w:pos="1304"/>
        </w:tabs>
        <w:ind w:left="1304" w:hanging="170"/>
      </w:pPr>
      <w:rPr>
        <w:rFonts w:hint="default"/>
        <w:b w:val="0"/>
        <w:i w:val="0"/>
        <w:color w:val="auto"/>
      </w:rPr>
    </w:lvl>
    <w:lvl w:ilvl="6">
      <w:start w:val="1"/>
      <w:numFmt w:val="lowerRoman"/>
      <w:pStyle w:val="Titre7"/>
      <w:lvlText w:val="%7."/>
      <w:lvlJc w:val="left"/>
      <w:pPr>
        <w:tabs>
          <w:tab w:val="num" w:pos="-219"/>
        </w:tabs>
        <w:ind w:left="-219" w:hanging="357"/>
      </w:pPr>
      <w:rPr>
        <w:rFonts w:asciiTheme="majorHAnsi" w:hAnsiTheme="majorHAnsi" w:hint="default"/>
      </w:rPr>
    </w:lvl>
    <w:lvl w:ilvl="7">
      <w:start w:val="1"/>
      <w:numFmt w:val="none"/>
      <w:lvlRestart w:val="0"/>
      <w:pStyle w:val="Titre8"/>
      <w:lvlText w:val="%8"/>
      <w:lvlJc w:val="left"/>
      <w:pPr>
        <w:tabs>
          <w:tab w:val="num" w:pos="-66"/>
        </w:tabs>
        <w:ind w:left="-66" w:hanging="397"/>
      </w:pPr>
      <w:rPr>
        <w:rFonts w:asciiTheme="majorHAnsi" w:hAnsiTheme="majorHAnsi" w:hint="default"/>
      </w:rPr>
    </w:lvl>
    <w:lvl w:ilvl="8">
      <w:start w:val="1"/>
      <w:numFmt w:val="none"/>
      <w:lvlRestart w:val="0"/>
      <w:pStyle w:val="Titre9"/>
      <w:lvlText w:val=""/>
      <w:lvlJc w:val="left"/>
      <w:pPr>
        <w:tabs>
          <w:tab w:val="num" w:pos="-179"/>
        </w:tabs>
        <w:ind w:left="104" w:hanging="283"/>
      </w:pPr>
      <w:rPr>
        <w:rFonts w:hint="default"/>
        <w:color w:val="auto"/>
      </w:rPr>
    </w:lvl>
  </w:abstractNum>
  <w:abstractNum w:abstractNumId="9">
    <w:nsid w:val="233B4117"/>
    <w:multiLevelType w:val="hybridMultilevel"/>
    <w:tmpl w:val="75F0EAD2"/>
    <w:lvl w:ilvl="0" w:tplc="7FBCDC2A">
      <w:numFmt w:val="bullet"/>
      <w:lvlText w:val="-"/>
      <w:lvlJc w:val="left"/>
      <w:pPr>
        <w:ind w:left="1068" w:hanging="360"/>
      </w:pPr>
      <w:rPr>
        <w:rFonts w:ascii="Calibri" w:eastAsia="Times New Roman"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23675F4B"/>
    <w:multiLevelType w:val="hybridMultilevel"/>
    <w:tmpl w:val="452AEA8A"/>
    <w:lvl w:ilvl="0" w:tplc="03ECC4B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6C09E8"/>
    <w:multiLevelType w:val="multilevel"/>
    <w:tmpl w:val="B456D1EE"/>
    <w:lvl w:ilvl="0">
      <w:start w:val="1"/>
      <w:numFmt w:val="lowerRoman"/>
      <w:pStyle w:val="Listei-ii"/>
      <w:lvlText w:val="%1."/>
      <w:lvlJc w:val="left"/>
      <w:pPr>
        <w:ind w:left="1211" w:hanging="360"/>
      </w:pPr>
      <w:rPr>
        <w:rFonts w:hint="default"/>
      </w:rPr>
    </w:lvl>
    <w:lvl w:ilvl="1">
      <w:start w:val="1"/>
      <w:numFmt w:val="lowerLetter"/>
      <w:lvlText w:val="%2."/>
      <w:lvlJc w:val="left"/>
      <w:pPr>
        <w:ind w:left="2575" w:hanging="35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6"/>
      <w:numFmt w:val="bullet"/>
      <w:lvlText w:val="-"/>
      <w:lvlJc w:val="left"/>
      <w:pPr>
        <w:ind w:left="3295" w:hanging="182"/>
      </w:pPr>
      <w:rPr>
        <w:rFonts w:ascii="Calibri" w:hAnsi="Calibri" w:hint="default"/>
        <w:color w:val="auto"/>
      </w:rPr>
    </w:lvl>
    <w:lvl w:ilvl="3">
      <w:start w:val="1"/>
      <w:numFmt w:val="none"/>
      <w:lvlText w:val="%4."/>
      <w:lvlJc w:val="left"/>
      <w:pPr>
        <w:ind w:left="4867" w:hanging="360"/>
      </w:pPr>
      <w:rPr>
        <w:rFonts w:hint="default"/>
      </w:rPr>
    </w:lvl>
    <w:lvl w:ilvl="4">
      <w:start w:val="1"/>
      <w:numFmt w:val="none"/>
      <w:lvlText w:val="%5."/>
      <w:lvlJc w:val="left"/>
      <w:pPr>
        <w:ind w:left="5587" w:hanging="360"/>
      </w:pPr>
      <w:rPr>
        <w:rFonts w:hint="default"/>
      </w:rPr>
    </w:lvl>
    <w:lvl w:ilvl="5">
      <w:start w:val="1"/>
      <w:numFmt w:val="none"/>
      <w:lvlText w:val="%6."/>
      <w:lvlJc w:val="right"/>
      <w:pPr>
        <w:ind w:left="6307" w:hanging="180"/>
      </w:pPr>
      <w:rPr>
        <w:rFonts w:hint="default"/>
      </w:rPr>
    </w:lvl>
    <w:lvl w:ilvl="6">
      <w:start w:val="1"/>
      <w:numFmt w:val="none"/>
      <w:lvlText w:val="%7."/>
      <w:lvlJc w:val="left"/>
      <w:pPr>
        <w:ind w:left="7027" w:hanging="360"/>
      </w:pPr>
      <w:rPr>
        <w:rFonts w:hint="default"/>
      </w:rPr>
    </w:lvl>
    <w:lvl w:ilvl="7">
      <w:start w:val="1"/>
      <w:numFmt w:val="none"/>
      <w:lvlText w:val="%8."/>
      <w:lvlJc w:val="left"/>
      <w:pPr>
        <w:ind w:left="7747" w:hanging="360"/>
      </w:pPr>
      <w:rPr>
        <w:rFonts w:hint="default"/>
      </w:rPr>
    </w:lvl>
    <w:lvl w:ilvl="8">
      <w:start w:val="1"/>
      <w:numFmt w:val="none"/>
      <w:lvlText w:val="%9."/>
      <w:lvlJc w:val="right"/>
      <w:pPr>
        <w:ind w:left="8467" w:hanging="180"/>
      </w:pPr>
      <w:rPr>
        <w:rFonts w:hint="default"/>
      </w:rPr>
    </w:lvl>
  </w:abstractNum>
  <w:abstractNum w:abstractNumId="12">
    <w:nsid w:val="2B701A8D"/>
    <w:multiLevelType w:val="hybridMultilevel"/>
    <w:tmpl w:val="FB4A0DF0"/>
    <w:lvl w:ilvl="0" w:tplc="1B4E047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AE020A"/>
    <w:multiLevelType w:val="hybridMultilevel"/>
    <w:tmpl w:val="B6185B3A"/>
    <w:lvl w:ilvl="0" w:tplc="7FBCDC2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D831CF"/>
    <w:multiLevelType w:val="hybridMultilevel"/>
    <w:tmpl w:val="9A7AA0F6"/>
    <w:lvl w:ilvl="0" w:tplc="88B2B3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060194C"/>
    <w:multiLevelType w:val="hybridMultilevel"/>
    <w:tmpl w:val="66C89CE2"/>
    <w:lvl w:ilvl="0" w:tplc="1B4E047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6C5EA6"/>
    <w:multiLevelType w:val="hybridMultilevel"/>
    <w:tmpl w:val="8526816C"/>
    <w:lvl w:ilvl="0" w:tplc="7FBCDC2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E8560D"/>
    <w:multiLevelType w:val="hybridMultilevel"/>
    <w:tmpl w:val="F1A4BAB8"/>
    <w:lvl w:ilvl="0" w:tplc="7FBCDC2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8BE0661"/>
    <w:multiLevelType w:val="multilevel"/>
    <w:tmpl w:val="74ECE93E"/>
    <w:lvl w:ilvl="0">
      <w:start w:val="1"/>
      <w:numFmt w:val="decimal"/>
      <w:lvlText w:val="ARTICLE %1."/>
      <w:lvlJc w:val="left"/>
      <w:pPr>
        <w:ind w:left="432" w:hanging="432"/>
      </w:pPr>
      <w:rPr>
        <w:rFonts w:asciiTheme="minorHAnsi" w:hAnsiTheme="minorHAnsi" w:cstheme="minorHAnsi" w:hint="default"/>
        <w:b/>
        <w:bCs w:val="0"/>
        <w:i w:val="0"/>
        <w:iCs w:val="0"/>
        <w:caps w:val="0"/>
        <w:smallCaps w:val="0"/>
        <w:strike w:val="0"/>
        <w:dstrike w:val="0"/>
        <w:noProof w:val="0"/>
        <w:snapToGrid w:val="0"/>
        <w:vanish w:val="0"/>
        <w:color w:val="17365D" w:themeColor="text2" w:themeShade="BF"/>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ECA12ED"/>
    <w:multiLevelType w:val="hybridMultilevel"/>
    <w:tmpl w:val="B40CCA08"/>
    <w:lvl w:ilvl="0" w:tplc="C1125E3C">
      <w:start w:val="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90E4F21"/>
    <w:multiLevelType w:val="hybridMultilevel"/>
    <w:tmpl w:val="D47AEACC"/>
    <w:lvl w:ilvl="0" w:tplc="7FBCDC2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04946F9"/>
    <w:multiLevelType w:val="hybridMultilevel"/>
    <w:tmpl w:val="E7486DCA"/>
    <w:lvl w:ilvl="0" w:tplc="6A328CF2">
      <w:start w:val="1"/>
      <w:numFmt w:val="upperLetter"/>
      <w:pStyle w:val="ListePrambuleAlpha"/>
      <w:lvlText w:val="(%1)"/>
      <w:lvlJc w:val="left"/>
      <w:pPr>
        <w:ind w:left="720" w:hanging="360"/>
      </w:pPr>
      <w:rPr>
        <w:rFonts w:asciiTheme="minorHAnsi" w:hAnsiTheme="minorHAnsi"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1986800"/>
    <w:multiLevelType w:val="multilevel"/>
    <w:tmpl w:val="840885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6"/>
      <w:numFmt w:val="bullet"/>
      <w:lvlText w:val="-"/>
      <w:lvlJc w:val="left"/>
      <w:pPr>
        <w:ind w:left="180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5594595D"/>
    <w:multiLevelType w:val="hybridMultilevel"/>
    <w:tmpl w:val="1952C738"/>
    <w:lvl w:ilvl="0" w:tplc="7FBCDC2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4085625"/>
    <w:multiLevelType w:val="hybridMultilevel"/>
    <w:tmpl w:val="FF343B2C"/>
    <w:lvl w:ilvl="0" w:tplc="7FBCDC2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4D05EF7"/>
    <w:multiLevelType w:val="hybridMultilevel"/>
    <w:tmpl w:val="0270F65C"/>
    <w:lvl w:ilvl="0" w:tplc="74020B3C">
      <w:start w:val="1"/>
      <w:numFmt w:val="lowerRoman"/>
      <w:lvlText w:val="%1."/>
      <w:lvlJc w:val="right"/>
      <w:pPr>
        <w:ind w:left="788" w:hanging="360"/>
      </w:pPr>
      <w:rPr>
        <w:rFonts w:hint="default"/>
        <w:b w:val="0"/>
        <w:i w:val="0"/>
        <w:sz w:val="18"/>
      </w:rPr>
    </w:lvl>
    <w:lvl w:ilvl="1" w:tplc="040C0019" w:tentative="1">
      <w:start w:val="1"/>
      <w:numFmt w:val="lowerLetter"/>
      <w:lvlText w:val="%2."/>
      <w:lvlJc w:val="left"/>
      <w:pPr>
        <w:ind w:left="1508" w:hanging="360"/>
      </w:p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26">
    <w:nsid w:val="6CD44F77"/>
    <w:multiLevelType w:val="hybridMultilevel"/>
    <w:tmpl w:val="6FCA0C70"/>
    <w:lvl w:ilvl="0" w:tplc="BAA6F14C">
      <w:start w:val="9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A590B91"/>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7A8646F1"/>
    <w:multiLevelType w:val="hybridMultilevel"/>
    <w:tmpl w:val="612C5BF8"/>
    <w:lvl w:ilvl="0" w:tplc="9ED868C4">
      <w:start w:val="1"/>
      <w:numFmt w:val="bullet"/>
      <w:pStyle w:val="bulletpoint"/>
      <w:lvlText w:val=""/>
      <w:lvlJc w:val="left"/>
      <w:pPr>
        <w:ind w:left="360" w:hanging="360"/>
      </w:pPr>
      <w:rPr>
        <w:rFonts w:ascii="Wingdings" w:hAnsi="Wingdings" w:hint="default"/>
        <w:color w:val="17365D" w:themeColor="text2" w:themeShade="B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B4F6732"/>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22"/>
  </w:num>
  <w:num w:numId="3">
    <w:abstractNumId w:val="11"/>
  </w:num>
  <w:num w:numId="4">
    <w:abstractNumId w:val="1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11"/>
  </w:num>
  <w:num w:numId="15">
    <w:abstractNumId w:val="18"/>
  </w:num>
  <w:num w:numId="16">
    <w:abstractNumId w:val="27"/>
  </w:num>
  <w:num w:numId="17">
    <w:abstractNumId w:val="29"/>
  </w:num>
  <w:num w:numId="18">
    <w:abstractNumId w:val="10"/>
  </w:num>
  <w:num w:numId="19">
    <w:abstractNumId w:val="21"/>
  </w:num>
  <w:num w:numId="20">
    <w:abstractNumId w:val="25"/>
  </w:num>
  <w:num w:numId="21">
    <w:abstractNumId w:val="1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
  </w:num>
  <w:num w:numId="24">
    <w:abstractNumId w:val="5"/>
  </w:num>
  <w:num w:numId="25">
    <w:abstractNumId w:val="1"/>
  </w:num>
  <w:num w:numId="26">
    <w:abstractNumId w:val="14"/>
  </w:num>
  <w:num w:numId="27">
    <w:abstractNumId w:val="26"/>
  </w:num>
  <w:num w:numId="28">
    <w:abstractNumId w:val="12"/>
  </w:num>
  <w:num w:numId="29">
    <w:abstractNumId w:val="15"/>
  </w:num>
  <w:num w:numId="30">
    <w:abstractNumId w:val="13"/>
  </w:num>
  <w:num w:numId="31">
    <w:abstractNumId w:val="3"/>
  </w:num>
  <w:num w:numId="32">
    <w:abstractNumId w:val="4"/>
  </w:num>
  <w:num w:numId="33">
    <w:abstractNumId w:val="9"/>
  </w:num>
  <w:num w:numId="34">
    <w:abstractNumId w:val="17"/>
  </w:num>
  <w:num w:numId="35">
    <w:abstractNumId w:val="6"/>
  </w:num>
  <w:num w:numId="36">
    <w:abstractNumId w:val="16"/>
  </w:num>
  <w:num w:numId="37">
    <w:abstractNumId w:val="24"/>
  </w:num>
  <w:num w:numId="38">
    <w:abstractNumId w:val="23"/>
  </w:num>
  <w:num w:numId="39">
    <w:abstractNumId w:val="20"/>
  </w:num>
  <w:num w:numId="40">
    <w:abstractNumId w:val="19"/>
  </w:num>
  <w:num w:numId="4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revisionView w:inkAnnotations="0"/>
  <w:doNotTrackMoves/>
  <w:doNotTrackFormatting/>
  <w:styleLockTheme/>
  <w:defaultTabStop w:val="708"/>
  <w:hyphenationZone w:val="425"/>
  <w:drawingGridHorizontalSpacing w:val="110"/>
  <w:drawingGridVerticalSpacing w:val="181"/>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
    <w:docVar w:name="TMS_CultureID" w:val="French"/>
    <w:docVar w:name="TMS_OfficeID" w:val="Paris"/>
    <w:docVar w:name="TMS_TEMPLATE_ID" w:val="Blanc"/>
  </w:docVars>
  <w:rsids>
    <w:rsidRoot w:val="004129BC"/>
    <w:rsid w:val="000051C6"/>
    <w:rsid w:val="0000565B"/>
    <w:rsid w:val="00007103"/>
    <w:rsid w:val="0002018B"/>
    <w:rsid w:val="00022887"/>
    <w:rsid w:val="000262B6"/>
    <w:rsid w:val="00026FE3"/>
    <w:rsid w:val="00032847"/>
    <w:rsid w:val="00037C18"/>
    <w:rsid w:val="000417B0"/>
    <w:rsid w:val="00042808"/>
    <w:rsid w:val="00043FED"/>
    <w:rsid w:val="00050CD0"/>
    <w:rsid w:val="00051007"/>
    <w:rsid w:val="00051A13"/>
    <w:rsid w:val="00054AF6"/>
    <w:rsid w:val="0006125C"/>
    <w:rsid w:val="000620DF"/>
    <w:rsid w:val="00075F9C"/>
    <w:rsid w:val="00076C8F"/>
    <w:rsid w:val="00080FC5"/>
    <w:rsid w:val="000841DD"/>
    <w:rsid w:val="00086BB3"/>
    <w:rsid w:val="00090A2A"/>
    <w:rsid w:val="00095889"/>
    <w:rsid w:val="00096687"/>
    <w:rsid w:val="000A2E56"/>
    <w:rsid w:val="000B4ACF"/>
    <w:rsid w:val="000B6300"/>
    <w:rsid w:val="000C03E8"/>
    <w:rsid w:val="000C3E1F"/>
    <w:rsid w:val="000C710A"/>
    <w:rsid w:val="000D710D"/>
    <w:rsid w:val="000E13CF"/>
    <w:rsid w:val="000E5483"/>
    <w:rsid w:val="000F2588"/>
    <w:rsid w:val="00102B65"/>
    <w:rsid w:val="0011184B"/>
    <w:rsid w:val="00113936"/>
    <w:rsid w:val="00116D80"/>
    <w:rsid w:val="001206CF"/>
    <w:rsid w:val="0013328B"/>
    <w:rsid w:val="00135E25"/>
    <w:rsid w:val="001409DA"/>
    <w:rsid w:val="00151287"/>
    <w:rsid w:val="0016108C"/>
    <w:rsid w:val="001634E9"/>
    <w:rsid w:val="0016503C"/>
    <w:rsid w:val="0016584A"/>
    <w:rsid w:val="0017263F"/>
    <w:rsid w:val="00172766"/>
    <w:rsid w:val="00173D34"/>
    <w:rsid w:val="00180883"/>
    <w:rsid w:val="001921E3"/>
    <w:rsid w:val="001A142D"/>
    <w:rsid w:val="001A2C33"/>
    <w:rsid w:val="001A601A"/>
    <w:rsid w:val="001A71E0"/>
    <w:rsid w:val="001A757C"/>
    <w:rsid w:val="001B1C8E"/>
    <w:rsid w:val="001B453D"/>
    <w:rsid w:val="001B4935"/>
    <w:rsid w:val="001C30D2"/>
    <w:rsid w:val="001C7CDF"/>
    <w:rsid w:val="001D1B7A"/>
    <w:rsid w:val="001E0ACB"/>
    <w:rsid w:val="001E217F"/>
    <w:rsid w:val="001E7263"/>
    <w:rsid w:val="001F1E1E"/>
    <w:rsid w:val="001F5DFB"/>
    <w:rsid w:val="00205CBD"/>
    <w:rsid w:val="002071C4"/>
    <w:rsid w:val="00211C20"/>
    <w:rsid w:val="00211CC7"/>
    <w:rsid w:val="002209CA"/>
    <w:rsid w:val="002257FE"/>
    <w:rsid w:val="0023025C"/>
    <w:rsid w:val="00231DDD"/>
    <w:rsid w:val="002328E8"/>
    <w:rsid w:val="0023773D"/>
    <w:rsid w:val="0024415B"/>
    <w:rsid w:val="00245EBA"/>
    <w:rsid w:val="002609DB"/>
    <w:rsid w:val="00272E08"/>
    <w:rsid w:val="00275F6C"/>
    <w:rsid w:val="00277F4B"/>
    <w:rsid w:val="0028062B"/>
    <w:rsid w:val="002825D8"/>
    <w:rsid w:val="00292B6E"/>
    <w:rsid w:val="00297179"/>
    <w:rsid w:val="002A27BF"/>
    <w:rsid w:val="002B4E94"/>
    <w:rsid w:val="002B51A4"/>
    <w:rsid w:val="002B6B1D"/>
    <w:rsid w:val="002C0212"/>
    <w:rsid w:val="002C2E64"/>
    <w:rsid w:val="002D437F"/>
    <w:rsid w:val="002E1FA2"/>
    <w:rsid w:val="002F5330"/>
    <w:rsid w:val="002F5513"/>
    <w:rsid w:val="002F55ED"/>
    <w:rsid w:val="002F7C90"/>
    <w:rsid w:val="00302087"/>
    <w:rsid w:val="00302248"/>
    <w:rsid w:val="00307117"/>
    <w:rsid w:val="003171BA"/>
    <w:rsid w:val="00320522"/>
    <w:rsid w:val="00322423"/>
    <w:rsid w:val="003227FA"/>
    <w:rsid w:val="00324D1F"/>
    <w:rsid w:val="00335967"/>
    <w:rsid w:val="003361D9"/>
    <w:rsid w:val="00343961"/>
    <w:rsid w:val="003460BD"/>
    <w:rsid w:val="003468E0"/>
    <w:rsid w:val="003509AF"/>
    <w:rsid w:val="003521FA"/>
    <w:rsid w:val="0036277A"/>
    <w:rsid w:val="00362DE8"/>
    <w:rsid w:val="00363B2A"/>
    <w:rsid w:val="0036539D"/>
    <w:rsid w:val="00367FCA"/>
    <w:rsid w:val="00377B16"/>
    <w:rsid w:val="003854DB"/>
    <w:rsid w:val="003A1341"/>
    <w:rsid w:val="003A1A67"/>
    <w:rsid w:val="003A5D3A"/>
    <w:rsid w:val="003B213D"/>
    <w:rsid w:val="003B48E7"/>
    <w:rsid w:val="003C1203"/>
    <w:rsid w:val="003C3530"/>
    <w:rsid w:val="003C57EA"/>
    <w:rsid w:val="003D478E"/>
    <w:rsid w:val="003D6E33"/>
    <w:rsid w:val="003F1AA3"/>
    <w:rsid w:val="003F1CBB"/>
    <w:rsid w:val="003F498A"/>
    <w:rsid w:val="00402809"/>
    <w:rsid w:val="00406BF7"/>
    <w:rsid w:val="004129BC"/>
    <w:rsid w:val="0041325D"/>
    <w:rsid w:val="004142ED"/>
    <w:rsid w:val="004150A7"/>
    <w:rsid w:val="004273BC"/>
    <w:rsid w:val="00432726"/>
    <w:rsid w:val="00433E29"/>
    <w:rsid w:val="00440996"/>
    <w:rsid w:val="004564DD"/>
    <w:rsid w:val="0046108F"/>
    <w:rsid w:val="00470E02"/>
    <w:rsid w:val="0047360F"/>
    <w:rsid w:val="00474086"/>
    <w:rsid w:val="0048446B"/>
    <w:rsid w:val="00484AC9"/>
    <w:rsid w:val="00484DA6"/>
    <w:rsid w:val="004875AE"/>
    <w:rsid w:val="00491EB1"/>
    <w:rsid w:val="00492FBA"/>
    <w:rsid w:val="00496466"/>
    <w:rsid w:val="00496D2A"/>
    <w:rsid w:val="00497266"/>
    <w:rsid w:val="004A1B22"/>
    <w:rsid w:val="004A1BA0"/>
    <w:rsid w:val="004A3E90"/>
    <w:rsid w:val="004B6C04"/>
    <w:rsid w:val="004C6FC7"/>
    <w:rsid w:val="004D0286"/>
    <w:rsid w:val="004D329B"/>
    <w:rsid w:val="004D6B72"/>
    <w:rsid w:val="004E0396"/>
    <w:rsid w:val="004E1C11"/>
    <w:rsid w:val="004E5AEE"/>
    <w:rsid w:val="004F1DD1"/>
    <w:rsid w:val="004F4AF3"/>
    <w:rsid w:val="00504E6A"/>
    <w:rsid w:val="005166CD"/>
    <w:rsid w:val="0051687D"/>
    <w:rsid w:val="0052090E"/>
    <w:rsid w:val="00521C37"/>
    <w:rsid w:val="00523395"/>
    <w:rsid w:val="00536894"/>
    <w:rsid w:val="00542F30"/>
    <w:rsid w:val="00543A62"/>
    <w:rsid w:val="00543C50"/>
    <w:rsid w:val="00547648"/>
    <w:rsid w:val="00552E83"/>
    <w:rsid w:val="005536EC"/>
    <w:rsid w:val="00555153"/>
    <w:rsid w:val="00563838"/>
    <w:rsid w:val="00563ED0"/>
    <w:rsid w:val="00565FA0"/>
    <w:rsid w:val="00574F04"/>
    <w:rsid w:val="0059346A"/>
    <w:rsid w:val="005A0AAF"/>
    <w:rsid w:val="005A37E7"/>
    <w:rsid w:val="005A41DF"/>
    <w:rsid w:val="005A73C5"/>
    <w:rsid w:val="005B42F7"/>
    <w:rsid w:val="005B6C61"/>
    <w:rsid w:val="005C2E1A"/>
    <w:rsid w:val="005C75DD"/>
    <w:rsid w:val="005D0CDC"/>
    <w:rsid w:val="005D1B00"/>
    <w:rsid w:val="005D2872"/>
    <w:rsid w:val="005F2364"/>
    <w:rsid w:val="005F5D69"/>
    <w:rsid w:val="005F5FB5"/>
    <w:rsid w:val="005F6B58"/>
    <w:rsid w:val="00606889"/>
    <w:rsid w:val="00615E10"/>
    <w:rsid w:val="006224B0"/>
    <w:rsid w:val="00624827"/>
    <w:rsid w:val="00627320"/>
    <w:rsid w:val="0063202C"/>
    <w:rsid w:val="00632C8F"/>
    <w:rsid w:val="00637B93"/>
    <w:rsid w:val="006423CB"/>
    <w:rsid w:val="00645F56"/>
    <w:rsid w:val="00651383"/>
    <w:rsid w:val="006519F8"/>
    <w:rsid w:val="00664C2F"/>
    <w:rsid w:val="006732FB"/>
    <w:rsid w:val="006742F7"/>
    <w:rsid w:val="00680DC4"/>
    <w:rsid w:val="006837CC"/>
    <w:rsid w:val="0068514D"/>
    <w:rsid w:val="0069057E"/>
    <w:rsid w:val="006C3240"/>
    <w:rsid w:val="006D1C44"/>
    <w:rsid w:val="006D5936"/>
    <w:rsid w:val="006D63A7"/>
    <w:rsid w:val="006D6F23"/>
    <w:rsid w:val="006F007F"/>
    <w:rsid w:val="006F017D"/>
    <w:rsid w:val="006F7F26"/>
    <w:rsid w:val="007124B7"/>
    <w:rsid w:val="00712506"/>
    <w:rsid w:val="0071371F"/>
    <w:rsid w:val="00715515"/>
    <w:rsid w:val="00716062"/>
    <w:rsid w:val="007171A1"/>
    <w:rsid w:val="00730E5C"/>
    <w:rsid w:val="007335BF"/>
    <w:rsid w:val="00733F9F"/>
    <w:rsid w:val="00734A65"/>
    <w:rsid w:val="007360ED"/>
    <w:rsid w:val="00740835"/>
    <w:rsid w:val="00750BB6"/>
    <w:rsid w:val="00752F55"/>
    <w:rsid w:val="00753C82"/>
    <w:rsid w:val="00755BC8"/>
    <w:rsid w:val="00755F32"/>
    <w:rsid w:val="007612E6"/>
    <w:rsid w:val="00762BFD"/>
    <w:rsid w:val="007653EC"/>
    <w:rsid w:val="00766466"/>
    <w:rsid w:val="0076691E"/>
    <w:rsid w:val="00766B7A"/>
    <w:rsid w:val="007720E5"/>
    <w:rsid w:val="00776929"/>
    <w:rsid w:val="00777783"/>
    <w:rsid w:val="007828AE"/>
    <w:rsid w:val="0078567F"/>
    <w:rsid w:val="007871AA"/>
    <w:rsid w:val="0079073E"/>
    <w:rsid w:val="00791AE0"/>
    <w:rsid w:val="007A0ECC"/>
    <w:rsid w:val="007B1931"/>
    <w:rsid w:val="007B1A2F"/>
    <w:rsid w:val="007B1CC1"/>
    <w:rsid w:val="007B57C0"/>
    <w:rsid w:val="007D69F6"/>
    <w:rsid w:val="007E0DB1"/>
    <w:rsid w:val="007E227D"/>
    <w:rsid w:val="007E6620"/>
    <w:rsid w:val="007E71BC"/>
    <w:rsid w:val="007F2D79"/>
    <w:rsid w:val="007F3171"/>
    <w:rsid w:val="007F3481"/>
    <w:rsid w:val="008016FF"/>
    <w:rsid w:val="008053FF"/>
    <w:rsid w:val="008063A2"/>
    <w:rsid w:val="00807F4C"/>
    <w:rsid w:val="008110AE"/>
    <w:rsid w:val="008141D7"/>
    <w:rsid w:val="00817EA4"/>
    <w:rsid w:val="008251BC"/>
    <w:rsid w:val="00826956"/>
    <w:rsid w:val="00834FAF"/>
    <w:rsid w:val="00841A9B"/>
    <w:rsid w:val="00845B0F"/>
    <w:rsid w:val="00846779"/>
    <w:rsid w:val="008500F2"/>
    <w:rsid w:val="00860E16"/>
    <w:rsid w:val="00860FC7"/>
    <w:rsid w:val="00896FCB"/>
    <w:rsid w:val="008A2E63"/>
    <w:rsid w:val="008A3ED2"/>
    <w:rsid w:val="008A41BF"/>
    <w:rsid w:val="008A7315"/>
    <w:rsid w:val="008B20A1"/>
    <w:rsid w:val="008B6AB6"/>
    <w:rsid w:val="008D06A6"/>
    <w:rsid w:val="008D2996"/>
    <w:rsid w:val="008E6950"/>
    <w:rsid w:val="008E7C89"/>
    <w:rsid w:val="008F52E9"/>
    <w:rsid w:val="0090176A"/>
    <w:rsid w:val="00910B4F"/>
    <w:rsid w:val="009139AC"/>
    <w:rsid w:val="00917496"/>
    <w:rsid w:val="009174CC"/>
    <w:rsid w:val="00923717"/>
    <w:rsid w:val="00932F6E"/>
    <w:rsid w:val="00937CB2"/>
    <w:rsid w:val="0094241F"/>
    <w:rsid w:val="009435DF"/>
    <w:rsid w:val="00944A2B"/>
    <w:rsid w:val="00944C6A"/>
    <w:rsid w:val="0096067A"/>
    <w:rsid w:val="009609EF"/>
    <w:rsid w:val="00967179"/>
    <w:rsid w:val="00967561"/>
    <w:rsid w:val="009708D8"/>
    <w:rsid w:val="00974C58"/>
    <w:rsid w:val="00974F6B"/>
    <w:rsid w:val="00982687"/>
    <w:rsid w:val="00982E09"/>
    <w:rsid w:val="00997813"/>
    <w:rsid w:val="009B0AA0"/>
    <w:rsid w:val="009B0D2A"/>
    <w:rsid w:val="009B1759"/>
    <w:rsid w:val="009B329D"/>
    <w:rsid w:val="009B6425"/>
    <w:rsid w:val="009C12B6"/>
    <w:rsid w:val="009C29DC"/>
    <w:rsid w:val="009C4861"/>
    <w:rsid w:val="009C67AA"/>
    <w:rsid w:val="009C6B44"/>
    <w:rsid w:val="009D0870"/>
    <w:rsid w:val="009D1338"/>
    <w:rsid w:val="009D1CBC"/>
    <w:rsid w:val="009E00AB"/>
    <w:rsid w:val="009E4E07"/>
    <w:rsid w:val="009E5268"/>
    <w:rsid w:val="009F0DA5"/>
    <w:rsid w:val="009F0E6F"/>
    <w:rsid w:val="009F7597"/>
    <w:rsid w:val="009F7817"/>
    <w:rsid w:val="00A02265"/>
    <w:rsid w:val="00A04EE0"/>
    <w:rsid w:val="00A062AA"/>
    <w:rsid w:val="00A06EC9"/>
    <w:rsid w:val="00A120DD"/>
    <w:rsid w:val="00A153BA"/>
    <w:rsid w:val="00A16B84"/>
    <w:rsid w:val="00A23038"/>
    <w:rsid w:val="00A26546"/>
    <w:rsid w:val="00A27F29"/>
    <w:rsid w:val="00A474FE"/>
    <w:rsid w:val="00A52835"/>
    <w:rsid w:val="00A56699"/>
    <w:rsid w:val="00A57975"/>
    <w:rsid w:val="00A627F4"/>
    <w:rsid w:val="00A62D06"/>
    <w:rsid w:val="00A74F48"/>
    <w:rsid w:val="00A7553F"/>
    <w:rsid w:val="00A76AC6"/>
    <w:rsid w:val="00A8502E"/>
    <w:rsid w:val="00A8514A"/>
    <w:rsid w:val="00A91254"/>
    <w:rsid w:val="00A9166D"/>
    <w:rsid w:val="00A96D4A"/>
    <w:rsid w:val="00AA1955"/>
    <w:rsid w:val="00AA3EBD"/>
    <w:rsid w:val="00AA5B74"/>
    <w:rsid w:val="00AB20AF"/>
    <w:rsid w:val="00AB4C47"/>
    <w:rsid w:val="00AC0EA0"/>
    <w:rsid w:val="00AC26C0"/>
    <w:rsid w:val="00AC275D"/>
    <w:rsid w:val="00AC558A"/>
    <w:rsid w:val="00AC7428"/>
    <w:rsid w:val="00AC7770"/>
    <w:rsid w:val="00AD5BB9"/>
    <w:rsid w:val="00AE1ECE"/>
    <w:rsid w:val="00AE2F59"/>
    <w:rsid w:val="00AE642E"/>
    <w:rsid w:val="00AF2131"/>
    <w:rsid w:val="00AF3CC1"/>
    <w:rsid w:val="00AF433B"/>
    <w:rsid w:val="00B022BC"/>
    <w:rsid w:val="00B06ACE"/>
    <w:rsid w:val="00B07F1B"/>
    <w:rsid w:val="00B11371"/>
    <w:rsid w:val="00B12DE1"/>
    <w:rsid w:val="00B132E1"/>
    <w:rsid w:val="00B14687"/>
    <w:rsid w:val="00B16751"/>
    <w:rsid w:val="00B168B4"/>
    <w:rsid w:val="00B223D9"/>
    <w:rsid w:val="00B25EF6"/>
    <w:rsid w:val="00B33B1D"/>
    <w:rsid w:val="00B3601E"/>
    <w:rsid w:val="00B42E96"/>
    <w:rsid w:val="00B44CF1"/>
    <w:rsid w:val="00B46A39"/>
    <w:rsid w:val="00B50FA2"/>
    <w:rsid w:val="00B63936"/>
    <w:rsid w:val="00B643B7"/>
    <w:rsid w:val="00B655E8"/>
    <w:rsid w:val="00B663BA"/>
    <w:rsid w:val="00B73A60"/>
    <w:rsid w:val="00B73B60"/>
    <w:rsid w:val="00B862C8"/>
    <w:rsid w:val="00B94F54"/>
    <w:rsid w:val="00BA2A08"/>
    <w:rsid w:val="00BA5539"/>
    <w:rsid w:val="00BA5788"/>
    <w:rsid w:val="00BB0363"/>
    <w:rsid w:val="00BB141B"/>
    <w:rsid w:val="00BB6ACF"/>
    <w:rsid w:val="00BB6F15"/>
    <w:rsid w:val="00BC07AF"/>
    <w:rsid w:val="00BC095C"/>
    <w:rsid w:val="00BC2696"/>
    <w:rsid w:val="00BD13F7"/>
    <w:rsid w:val="00BE0460"/>
    <w:rsid w:val="00BE4159"/>
    <w:rsid w:val="00BE631E"/>
    <w:rsid w:val="00BF13F7"/>
    <w:rsid w:val="00BF35C2"/>
    <w:rsid w:val="00BF59D1"/>
    <w:rsid w:val="00C0287E"/>
    <w:rsid w:val="00C15726"/>
    <w:rsid w:val="00C22D66"/>
    <w:rsid w:val="00C24D2D"/>
    <w:rsid w:val="00C2597B"/>
    <w:rsid w:val="00C26D6E"/>
    <w:rsid w:val="00C27E2A"/>
    <w:rsid w:val="00C41C82"/>
    <w:rsid w:val="00C47F97"/>
    <w:rsid w:val="00C54ECB"/>
    <w:rsid w:val="00C61E81"/>
    <w:rsid w:val="00C65FF6"/>
    <w:rsid w:val="00C716E4"/>
    <w:rsid w:val="00C719AA"/>
    <w:rsid w:val="00C72636"/>
    <w:rsid w:val="00C80627"/>
    <w:rsid w:val="00C82E24"/>
    <w:rsid w:val="00C844E8"/>
    <w:rsid w:val="00C84CA0"/>
    <w:rsid w:val="00C879A7"/>
    <w:rsid w:val="00CB221B"/>
    <w:rsid w:val="00CB5ADF"/>
    <w:rsid w:val="00CB6ACF"/>
    <w:rsid w:val="00CB76D9"/>
    <w:rsid w:val="00CC699C"/>
    <w:rsid w:val="00CE0221"/>
    <w:rsid w:val="00CE4219"/>
    <w:rsid w:val="00CE7F62"/>
    <w:rsid w:val="00CF2F71"/>
    <w:rsid w:val="00CF316F"/>
    <w:rsid w:val="00CF45A8"/>
    <w:rsid w:val="00D012B0"/>
    <w:rsid w:val="00D02B4C"/>
    <w:rsid w:val="00D03D45"/>
    <w:rsid w:val="00D042A2"/>
    <w:rsid w:val="00D06C86"/>
    <w:rsid w:val="00D144D0"/>
    <w:rsid w:val="00D15466"/>
    <w:rsid w:val="00D1677C"/>
    <w:rsid w:val="00D347EB"/>
    <w:rsid w:val="00D3526F"/>
    <w:rsid w:val="00D35386"/>
    <w:rsid w:val="00D3565D"/>
    <w:rsid w:val="00D45A46"/>
    <w:rsid w:val="00D46F71"/>
    <w:rsid w:val="00D516EE"/>
    <w:rsid w:val="00D556AF"/>
    <w:rsid w:val="00D56531"/>
    <w:rsid w:val="00D57DA5"/>
    <w:rsid w:val="00D64973"/>
    <w:rsid w:val="00D6763B"/>
    <w:rsid w:val="00D7044C"/>
    <w:rsid w:val="00D77A28"/>
    <w:rsid w:val="00D81B23"/>
    <w:rsid w:val="00D84A0E"/>
    <w:rsid w:val="00D85DE3"/>
    <w:rsid w:val="00D90740"/>
    <w:rsid w:val="00D97B2C"/>
    <w:rsid w:val="00DA102E"/>
    <w:rsid w:val="00DA222B"/>
    <w:rsid w:val="00DA4C37"/>
    <w:rsid w:val="00DA55BB"/>
    <w:rsid w:val="00DA5B44"/>
    <w:rsid w:val="00DB3A38"/>
    <w:rsid w:val="00DB5EB9"/>
    <w:rsid w:val="00DC1DBD"/>
    <w:rsid w:val="00DC3491"/>
    <w:rsid w:val="00DC4C83"/>
    <w:rsid w:val="00DD79BC"/>
    <w:rsid w:val="00DE0A56"/>
    <w:rsid w:val="00DE3116"/>
    <w:rsid w:val="00DE7313"/>
    <w:rsid w:val="00E00378"/>
    <w:rsid w:val="00E109E5"/>
    <w:rsid w:val="00E149E8"/>
    <w:rsid w:val="00E246EF"/>
    <w:rsid w:val="00E31510"/>
    <w:rsid w:val="00E32806"/>
    <w:rsid w:val="00E37DEC"/>
    <w:rsid w:val="00E41E67"/>
    <w:rsid w:val="00E42868"/>
    <w:rsid w:val="00E460E3"/>
    <w:rsid w:val="00E5641A"/>
    <w:rsid w:val="00E5761F"/>
    <w:rsid w:val="00E66D9B"/>
    <w:rsid w:val="00E6726A"/>
    <w:rsid w:val="00E721BC"/>
    <w:rsid w:val="00E80503"/>
    <w:rsid w:val="00E8173E"/>
    <w:rsid w:val="00E8212C"/>
    <w:rsid w:val="00E824A2"/>
    <w:rsid w:val="00E85CBD"/>
    <w:rsid w:val="00EA103F"/>
    <w:rsid w:val="00EB0A07"/>
    <w:rsid w:val="00EB4775"/>
    <w:rsid w:val="00EC05F2"/>
    <w:rsid w:val="00EC1775"/>
    <w:rsid w:val="00ED17F8"/>
    <w:rsid w:val="00EE6BBC"/>
    <w:rsid w:val="00EF0C1C"/>
    <w:rsid w:val="00EF2EF6"/>
    <w:rsid w:val="00EF568D"/>
    <w:rsid w:val="00EF74A6"/>
    <w:rsid w:val="00F00852"/>
    <w:rsid w:val="00F027D1"/>
    <w:rsid w:val="00F13E0D"/>
    <w:rsid w:val="00F20436"/>
    <w:rsid w:val="00F23143"/>
    <w:rsid w:val="00F244FF"/>
    <w:rsid w:val="00F34A54"/>
    <w:rsid w:val="00F3718D"/>
    <w:rsid w:val="00F47E66"/>
    <w:rsid w:val="00F55228"/>
    <w:rsid w:val="00F61830"/>
    <w:rsid w:val="00F95D49"/>
    <w:rsid w:val="00F9740B"/>
    <w:rsid w:val="00FA5496"/>
    <w:rsid w:val="00FA5803"/>
    <w:rsid w:val="00FA6643"/>
    <w:rsid w:val="00FB3257"/>
    <w:rsid w:val="00FB4FA4"/>
    <w:rsid w:val="00FC4F15"/>
    <w:rsid w:val="00FC7B1B"/>
    <w:rsid w:val="00FD0ADC"/>
    <w:rsid w:val="00FE5BD1"/>
    <w:rsid w:val="00FF5777"/>
    <w:rsid w:val="00FF6644"/>
    <w:rsid w:val="00FF7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qFormat="1"/>
    <w:lsdException w:name="Default Paragraph Font" w:locked="0" w:uiPriority="1"/>
    <w:lsdException w:name="Subtitle" w:locked="0" w:uiPriority="11" w:unhideWhenUsed="0"/>
    <w:lsdException w:name="Strong" w:locked="0" w:uiPriority="22" w:unhideWhenUsed="0"/>
    <w:lsdException w:name="Emphasis" w:locked="0" w:uiPriority="20" w:unhideWhenUsed="0" w:qFormat="1"/>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59"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qFormat="1"/>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uiPriority="21" w:unhideWhenUsed="0" w:qFormat="1"/>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A16B84"/>
    <w:pPr>
      <w:spacing w:after="220"/>
    </w:pPr>
    <w:rPr>
      <w:kern w:val="22"/>
      <w:lang w:val="fr-FR"/>
    </w:rPr>
  </w:style>
  <w:style w:type="paragraph" w:styleId="Titre1">
    <w:name w:val="heading 1"/>
    <w:basedOn w:val="Normal"/>
    <w:next w:val="Normal"/>
    <w:link w:val="Titre1Car"/>
    <w:uiPriority w:val="9"/>
    <w:qFormat/>
    <w:rsid w:val="00DC3491"/>
    <w:pPr>
      <w:keepNext/>
      <w:numPr>
        <w:numId w:val="5"/>
      </w:numPr>
      <w:pBdr>
        <w:bottom w:val="single" w:sz="12" w:space="1" w:color="17365D" w:themeColor="text2" w:themeShade="BF"/>
      </w:pBdr>
      <w:tabs>
        <w:tab w:val="clear" w:pos="125"/>
        <w:tab w:val="num" w:pos="851"/>
      </w:tabs>
      <w:spacing w:before="480"/>
      <w:ind w:left="851" w:hanging="851"/>
      <w:jc w:val="left"/>
      <w:outlineLvl w:val="0"/>
    </w:pPr>
    <w:rPr>
      <w:b/>
      <w:caps/>
      <w:color w:val="17365D" w:themeColor="text2" w:themeShade="BF"/>
      <w:spacing w:val="40"/>
      <w:sz w:val="28"/>
      <w:szCs w:val="24"/>
    </w:rPr>
  </w:style>
  <w:style w:type="paragraph" w:styleId="Titre2">
    <w:name w:val="heading 2"/>
    <w:basedOn w:val="Titre1"/>
    <w:link w:val="Titre2Car"/>
    <w:uiPriority w:val="9"/>
    <w:qFormat/>
    <w:rsid w:val="003C3530"/>
    <w:pPr>
      <w:keepNext w:val="0"/>
      <w:numPr>
        <w:ilvl w:val="1"/>
      </w:numPr>
      <w:pBdr>
        <w:bottom w:val="none" w:sz="0" w:space="0" w:color="auto"/>
      </w:pBdr>
      <w:tabs>
        <w:tab w:val="clear" w:pos="69"/>
        <w:tab w:val="num" w:pos="851"/>
      </w:tabs>
      <w:ind w:left="851" w:hanging="851"/>
      <w:jc w:val="both"/>
      <w:outlineLvl w:val="1"/>
    </w:pPr>
    <w:rPr>
      <w:b w:val="0"/>
      <w:caps w:val="0"/>
      <w:color w:val="auto"/>
      <w:spacing w:val="0"/>
      <w:sz w:val="22"/>
    </w:rPr>
  </w:style>
  <w:style w:type="paragraph" w:styleId="Titre3">
    <w:name w:val="heading 3"/>
    <w:basedOn w:val="Titre2"/>
    <w:link w:val="Titre3Car"/>
    <w:uiPriority w:val="9"/>
    <w:qFormat/>
    <w:rsid w:val="009D0870"/>
    <w:pPr>
      <w:numPr>
        <w:ilvl w:val="2"/>
      </w:numPr>
      <w:tabs>
        <w:tab w:val="clear" w:pos="69"/>
        <w:tab w:val="left" w:pos="851"/>
      </w:tabs>
      <w:spacing w:after="0"/>
      <w:ind w:left="851" w:hanging="851"/>
      <w:outlineLvl w:val="2"/>
    </w:pPr>
  </w:style>
  <w:style w:type="paragraph" w:styleId="Titre4">
    <w:name w:val="heading 4"/>
    <w:basedOn w:val="Titre3"/>
    <w:link w:val="Titre4Car"/>
    <w:uiPriority w:val="9"/>
    <w:unhideWhenUsed/>
    <w:qFormat/>
    <w:rsid w:val="001B1C8E"/>
    <w:pPr>
      <w:numPr>
        <w:ilvl w:val="3"/>
      </w:numPr>
      <w:tabs>
        <w:tab w:val="clear" w:pos="737"/>
        <w:tab w:val="clear" w:pos="851"/>
        <w:tab w:val="num" w:pos="1588"/>
      </w:tabs>
      <w:spacing w:before="120" w:after="120"/>
      <w:ind w:left="851" w:hanging="284"/>
      <w:outlineLvl w:val="3"/>
    </w:pPr>
    <w:rPr>
      <w:szCs w:val="22"/>
    </w:rPr>
  </w:style>
  <w:style w:type="paragraph" w:styleId="Titre5">
    <w:name w:val="heading 5"/>
    <w:basedOn w:val="Titre4"/>
    <w:link w:val="Titre5Car"/>
    <w:uiPriority w:val="9"/>
    <w:unhideWhenUsed/>
    <w:qFormat/>
    <w:rsid w:val="001B1C8E"/>
    <w:pPr>
      <w:numPr>
        <w:ilvl w:val="4"/>
      </w:numPr>
      <w:tabs>
        <w:tab w:val="clear" w:pos="907"/>
      </w:tabs>
      <w:ind w:left="1843" w:hanging="567"/>
      <w:outlineLvl w:val="4"/>
    </w:pPr>
  </w:style>
  <w:style w:type="paragraph" w:styleId="Titre6">
    <w:name w:val="heading 6"/>
    <w:basedOn w:val="Titre5"/>
    <w:link w:val="Titre6Car"/>
    <w:uiPriority w:val="9"/>
    <w:unhideWhenUsed/>
    <w:qFormat/>
    <w:rsid w:val="001B1C8E"/>
    <w:pPr>
      <w:numPr>
        <w:ilvl w:val="5"/>
      </w:numPr>
      <w:tabs>
        <w:tab w:val="clear" w:pos="1304"/>
      </w:tabs>
      <w:ind w:left="2098" w:hanging="397"/>
      <w:outlineLvl w:val="5"/>
    </w:pPr>
    <w:rPr>
      <w:spacing w:val="5"/>
    </w:rPr>
  </w:style>
  <w:style w:type="paragraph" w:styleId="Titre7">
    <w:name w:val="heading 7"/>
    <w:basedOn w:val="Normal"/>
    <w:next w:val="Normal"/>
    <w:link w:val="Titre7Car"/>
    <w:uiPriority w:val="9"/>
    <w:semiHidden/>
    <w:rsid w:val="000C03E8"/>
    <w:pPr>
      <w:numPr>
        <w:ilvl w:val="6"/>
        <w:numId w:val="5"/>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qFormat/>
    <w:rsid w:val="005F2364"/>
    <w:pPr>
      <w:numPr>
        <w:ilvl w:val="7"/>
        <w:numId w:val="5"/>
      </w:numPr>
      <w:jc w:val="left"/>
      <w:outlineLvl w:val="7"/>
    </w:pPr>
    <w:rPr>
      <w:b/>
      <w:i/>
      <w:smallCaps/>
      <w:color w:val="943634" w:themeColor="accent2" w:themeShade="BF"/>
      <w:lang w:val="en-US"/>
    </w:rPr>
  </w:style>
  <w:style w:type="paragraph" w:styleId="Titre9">
    <w:name w:val="heading 9"/>
    <w:basedOn w:val="Normal"/>
    <w:next w:val="Normal"/>
    <w:link w:val="Titre9Car"/>
    <w:uiPriority w:val="9"/>
    <w:semiHidden/>
    <w:qFormat/>
    <w:rsid w:val="005F2364"/>
    <w:pPr>
      <w:numPr>
        <w:ilvl w:val="8"/>
        <w:numId w:val="5"/>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3491"/>
    <w:rPr>
      <w:b/>
      <w:caps/>
      <w:color w:val="17365D" w:themeColor="text2" w:themeShade="BF"/>
      <w:spacing w:val="40"/>
      <w:kern w:val="22"/>
      <w:sz w:val="28"/>
      <w:szCs w:val="24"/>
      <w:lang w:val="fr-FR"/>
    </w:rPr>
  </w:style>
  <w:style w:type="character" w:customStyle="1" w:styleId="Titre2Car">
    <w:name w:val="Titre 2 Car"/>
    <w:basedOn w:val="Policepardfaut"/>
    <w:link w:val="Titre2"/>
    <w:uiPriority w:val="9"/>
    <w:rsid w:val="003C3530"/>
    <w:rPr>
      <w:kern w:val="22"/>
      <w:szCs w:val="24"/>
      <w:lang w:val="fr-FR"/>
    </w:rPr>
  </w:style>
  <w:style w:type="paragraph" w:customStyle="1" w:styleId="Listei-ii">
    <w:name w:val="Liste i - ii"/>
    <w:basedOn w:val="Normal"/>
    <w:qFormat/>
    <w:rsid w:val="00CB6ACF"/>
    <w:pPr>
      <w:numPr>
        <w:numId w:val="14"/>
      </w:numPr>
      <w:spacing w:after="240"/>
      <w:ind w:left="1208" w:hanging="357"/>
    </w:pPr>
  </w:style>
  <w:style w:type="paragraph" w:styleId="Listepuces">
    <w:name w:val="List Bullet"/>
    <w:basedOn w:val="bulletpoint"/>
    <w:uiPriority w:val="99"/>
    <w:locked/>
    <w:rsid w:val="007F2D79"/>
  </w:style>
  <w:style w:type="character" w:customStyle="1" w:styleId="Titre3Car">
    <w:name w:val="Titre 3 Car"/>
    <w:basedOn w:val="Policepardfaut"/>
    <w:link w:val="Titre3"/>
    <w:uiPriority w:val="9"/>
    <w:rsid w:val="00496D2A"/>
    <w:rPr>
      <w:kern w:val="22"/>
      <w:szCs w:val="24"/>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
    <w:rsid w:val="001B1C8E"/>
    <w:rPr>
      <w:kern w:val="22"/>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
    <w:rsid w:val="001B1C8E"/>
    <w:rPr>
      <w:kern w:val="22"/>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
    <w:rsid w:val="001B1C8E"/>
    <w:rPr>
      <w:spacing w:val="5"/>
      <w:kern w:val="22"/>
      <w:lang w:val="fr-FR"/>
    </w:rPr>
  </w:style>
  <w:style w:type="paragraph" w:customStyle="1" w:styleId="RetraitDroit">
    <w:name w:val="Retrait Droit"/>
    <w:basedOn w:val="Normal"/>
    <w:rsid w:val="00F61830"/>
    <w:pPr>
      <w:numPr>
        <w:ilvl w:val="7"/>
      </w:numPr>
      <w:spacing w:before="160" w:after="120"/>
      <w:ind w:left="1276"/>
    </w:pPr>
    <w:rPr>
      <w:szCs w:val="28"/>
    </w:rPr>
  </w:style>
  <w:style w:type="character" w:customStyle="1" w:styleId="Titre7Car">
    <w:name w:val="Titre 7 Car"/>
    <w:basedOn w:val="Policepardfaut"/>
    <w:link w:val="Titre7"/>
    <w:uiPriority w:val="9"/>
    <w:semiHidden/>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semiHidden/>
    <w:rsid w:val="005F2364"/>
    <w:rPr>
      <w:b/>
      <w:i/>
      <w:smallCaps/>
      <w:color w:val="943634" w:themeColor="accent2" w:themeShade="BF"/>
      <w:kern w:val="22"/>
    </w:rPr>
  </w:style>
  <w:style w:type="character" w:customStyle="1" w:styleId="Titre9Car">
    <w:name w:val="Titre 9 Car"/>
    <w:basedOn w:val="Policepardfaut"/>
    <w:link w:val="Titre9"/>
    <w:uiPriority w:val="9"/>
    <w:semiHidden/>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qFormat/>
    <w:rsid w:val="00547648"/>
    <w:pPr>
      <w:keepNext/>
      <w:pBdr>
        <w:top w:val="thinThickLargeGap" w:sz="24" w:space="8" w:color="365F91" w:themeColor="accent1" w:themeShade="BF"/>
        <w:bottom w:val="thickThinLargeGap" w:sz="24" w:space="1" w:color="365F91" w:themeColor="accent1" w:themeShade="BF"/>
      </w:pBdr>
      <w:spacing w:before="600" w:after="1200" w:line="336" w:lineRule="auto"/>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47648"/>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qFormat/>
    <w:rsid w:val="00022887"/>
    <w:pPr>
      <w:spacing w:after="240"/>
      <w:ind w:left="851" w:hanging="284"/>
    </w:pPr>
    <w:rPr>
      <w:i/>
      <w:iCs/>
    </w:rPr>
  </w:style>
  <w:style w:type="character" w:customStyle="1" w:styleId="CitationCar">
    <w:name w:val="Citation Car"/>
    <w:basedOn w:val="Policepardfaut"/>
    <w:link w:val="Citation"/>
    <w:uiPriority w:val="29"/>
    <w:rsid w:val="00022887"/>
    <w:rPr>
      <w:i/>
      <w:iCs/>
      <w:kern w:val="22"/>
      <w:lang w:val="fr-FR"/>
    </w:rPr>
  </w:style>
  <w:style w:type="paragraph" w:styleId="Citationintense">
    <w:name w:val="Intense Quote"/>
    <w:basedOn w:val="Normal"/>
    <w:next w:val="Normal"/>
    <w:link w:val="CitationintenseCar"/>
    <w:uiPriority w:val="30"/>
    <w:rsid w:val="003468E0"/>
    <w:pPr>
      <w:pBdr>
        <w:bottom w:val="single" w:sz="4" w:space="1" w:color="auto"/>
      </w:pBdr>
      <w:tabs>
        <w:tab w:val="left" w:pos="9070"/>
      </w:tabs>
      <w:spacing w:before="200" w:after="600"/>
    </w:pPr>
    <w:rPr>
      <w:b/>
      <w:bCs/>
      <w:iCs/>
      <w:smallCaps/>
      <w:spacing w:val="60"/>
      <w:sz w:val="24"/>
    </w:rPr>
  </w:style>
  <w:style w:type="character" w:customStyle="1" w:styleId="CitationintenseCar">
    <w:name w:val="Citation intense Car"/>
    <w:basedOn w:val="Policepardfaut"/>
    <w:link w:val="Citationintense"/>
    <w:uiPriority w:val="30"/>
    <w:rsid w:val="003468E0"/>
    <w:rPr>
      <w:b/>
      <w:bCs/>
      <w:iCs/>
      <w:smallCaps/>
      <w:spacing w:val="60"/>
      <w:kern w:val="22"/>
      <w:sz w:val="24"/>
      <w:lang w:val="fr-FR"/>
    </w:rPr>
  </w:style>
  <w:style w:type="paragraph" w:styleId="En-ttedetabledesmatires">
    <w:name w:val="TOC Heading"/>
    <w:basedOn w:val="Titre1"/>
    <w:next w:val="Normal"/>
    <w:uiPriority w:val="39"/>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qFormat/>
    <w:rsid w:val="005F2364"/>
    <w:pPr>
      <w:ind w:left="4956"/>
    </w:pPr>
  </w:style>
  <w:style w:type="paragraph" w:customStyle="1" w:styleId="grasitalique">
    <w:name w:val="gras italique"/>
    <w:basedOn w:val="Normal"/>
    <w:qFormat/>
    <w:rsid w:val="00CB6ACF"/>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aliases w:val="Italique"/>
    <w:basedOn w:val="Policepardfaut"/>
    <w:uiPriority w:val="20"/>
    <w:qFormat/>
    <w:rsid w:val="005F2364"/>
    <w:rPr>
      <w:i/>
      <w:iCs/>
    </w:rPr>
  </w:style>
  <w:style w:type="character" w:styleId="Emphaseintense">
    <w:name w:val="Intense Emphasis"/>
    <w:aliases w:val="gras"/>
    <w:uiPriority w:val="21"/>
    <w:qFormat/>
    <w:rsid w:val="000C03E8"/>
    <w:rPr>
      <w:b/>
      <w:bCs/>
    </w:rPr>
  </w:style>
  <w:style w:type="paragraph" w:styleId="Explorateurdedocuments">
    <w:name w:val="Document Map"/>
    <w:basedOn w:val="Normal"/>
    <w:link w:val="ExplorateurdedocumentsCar"/>
    <w:uiPriority w:val="99"/>
    <w:semiHidden/>
    <w:unhideWhenUsed/>
    <w:locked/>
    <w:rsid w:val="00051A1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styleId="Paragraphedeliste">
    <w:name w:val="List Paragraph"/>
    <w:basedOn w:val="Normal"/>
    <w:uiPriority w:val="34"/>
    <w:qFormat/>
    <w:rsid w:val="00113936"/>
    <w:pPr>
      <w:ind w:left="720"/>
      <w:contextualSpacing/>
    </w:pPr>
    <w:rPr>
      <w:rFonts w:ascii="Calibri" w:eastAsia="Calibri" w:hAnsi="Calibri" w:cs="Times New Roman"/>
    </w:rPr>
  </w:style>
  <w:style w:type="paragraph" w:customStyle="1" w:styleId="Inter-Titrenonnumrot">
    <w:name w:val="Inter-Titre (non numéroté)"/>
    <w:basedOn w:val="Normal"/>
    <w:next w:val="Normal"/>
    <w:qFormat/>
    <w:rsid w:val="00523395"/>
    <w:pPr>
      <w:pBdr>
        <w:bottom w:val="thickThinLargeGap" w:sz="24" w:space="1" w:color="17365D" w:themeColor="text2" w:themeShade="BF"/>
      </w:pBdr>
      <w:spacing w:before="360" w:after="240"/>
      <w:outlineLvl w:val="0"/>
    </w:pPr>
    <w:rPr>
      <w:smallCaps/>
      <w:color w:val="0F243E" w:themeColor="text2" w:themeShade="80"/>
      <w:spacing w:val="20"/>
      <w:sz w:val="32"/>
      <w:szCs w:val="32"/>
    </w:rPr>
  </w:style>
  <w:style w:type="paragraph" w:customStyle="1" w:styleId="ListePrambuleAlpha">
    <w:name w:val="Liste Préambule (Alpha)"/>
    <w:basedOn w:val="Paragraphedeliste"/>
    <w:qFormat/>
    <w:rsid w:val="00E85CBD"/>
    <w:pPr>
      <w:numPr>
        <w:numId w:val="19"/>
      </w:numPr>
      <w:ind w:left="851" w:hanging="851"/>
      <w:contextualSpacing w:val="0"/>
    </w:pPr>
  </w:style>
  <w:style w:type="paragraph" w:customStyle="1" w:styleId="Titre21ligne">
    <w:name w:val="Titre 2 (1 ligne)"/>
    <w:basedOn w:val="Titre2"/>
    <w:next w:val="Normal"/>
    <w:qFormat/>
    <w:rsid w:val="00DC3491"/>
    <w:pPr>
      <w:keepNext/>
      <w:pBdr>
        <w:bottom w:val="single" w:sz="4" w:space="1" w:color="0F243E" w:themeColor="text2" w:themeShade="80"/>
      </w:pBdr>
      <w:spacing w:after="360"/>
    </w:pPr>
    <w:rPr>
      <w:b/>
      <w:smallCaps/>
      <w:color w:val="17365D" w:themeColor="text2" w:themeShade="BF"/>
      <w:spacing w:val="40"/>
      <w:sz w:val="24"/>
      <w:szCs w:val="22"/>
    </w:rPr>
  </w:style>
  <w:style w:type="paragraph" w:styleId="TM1">
    <w:name w:val="toc 1"/>
    <w:basedOn w:val="Normal"/>
    <w:next w:val="Normal"/>
    <w:autoRedefine/>
    <w:uiPriority w:val="39"/>
    <w:unhideWhenUsed/>
    <w:locked/>
    <w:rsid w:val="009139AC"/>
    <w:pPr>
      <w:spacing w:after="100"/>
    </w:pPr>
    <w:rPr>
      <w:sz w:val="18"/>
    </w:rPr>
  </w:style>
  <w:style w:type="paragraph" w:styleId="TM2">
    <w:name w:val="toc 2"/>
    <w:basedOn w:val="Normal"/>
    <w:next w:val="Normal"/>
    <w:autoRedefine/>
    <w:uiPriority w:val="39"/>
    <w:unhideWhenUsed/>
    <w:locked/>
    <w:rsid w:val="009139AC"/>
    <w:pPr>
      <w:spacing w:after="100"/>
      <w:ind w:left="220"/>
    </w:pPr>
    <w:rPr>
      <w:sz w:val="18"/>
    </w:rPr>
  </w:style>
  <w:style w:type="paragraph" w:styleId="TM3">
    <w:name w:val="toc 3"/>
    <w:basedOn w:val="Normal"/>
    <w:next w:val="Normal"/>
    <w:autoRedefine/>
    <w:uiPriority w:val="39"/>
    <w:unhideWhenUsed/>
    <w:locked/>
    <w:rsid w:val="009139AC"/>
    <w:pPr>
      <w:spacing w:after="100"/>
      <w:ind w:left="440"/>
    </w:pPr>
    <w:rPr>
      <w:sz w:val="18"/>
    </w:rPr>
  </w:style>
  <w:style w:type="character" w:styleId="Lienhypertexte">
    <w:name w:val="Hyperlink"/>
    <w:basedOn w:val="Policepardfaut"/>
    <w:uiPriority w:val="99"/>
    <w:unhideWhenUsed/>
    <w:locked/>
    <w:rsid w:val="00B06ACE"/>
    <w:rPr>
      <w:color w:val="0000FF" w:themeColor="hyperlink"/>
      <w:u w:val="single"/>
    </w:rPr>
  </w:style>
  <w:style w:type="paragraph" w:customStyle="1" w:styleId="bulletpoint">
    <w:name w:val="bullet point"/>
    <w:basedOn w:val="Paragraphedeliste"/>
    <w:qFormat/>
    <w:rsid w:val="00CB6ACF"/>
    <w:pPr>
      <w:numPr>
        <w:numId w:val="22"/>
      </w:numPr>
      <w:ind w:left="1208" w:hanging="357"/>
    </w:pPr>
  </w:style>
  <w:style w:type="paragraph" w:customStyle="1" w:styleId="RetraitGauche">
    <w:name w:val="Retrait Gauche"/>
    <w:basedOn w:val="Normal"/>
    <w:next w:val="Normal"/>
    <w:rsid w:val="00E85CBD"/>
  </w:style>
  <w:style w:type="paragraph" w:customStyle="1" w:styleId="Titre31ligne">
    <w:name w:val="Titre 3 (1 ligne)"/>
    <w:basedOn w:val="Titre3"/>
    <w:next w:val="Normal"/>
    <w:qFormat/>
    <w:rsid w:val="00CB6ACF"/>
    <w:pPr>
      <w:pBdr>
        <w:bottom w:val="single" w:sz="4" w:space="1" w:color="1F497D" w:themeColor="text2"/>
      </w:pBdr>
      <w:spacing w:after="240"/>
    </w:pPr>
    <w:rPr>
      <w:smallCaps/>
      <w:color w:val="17365D" w:themeColor="text2" w:themeShade="BF"/>
      <w:spacing w:val="20"/>
    </w:rPr>
  </w:style>
  <w:style w:type="paragraph" w:customStyle="1" w:styleId="Titre41ligne">
    <w:name w:val="Titre 4 (1 ligne)"/>
    <w:basedOn w:val="Titre4"/>
    <w:next w:val="RetraitDroit"/>
    <w:qFormat/>
    <w:rsid w:val="00CB6ACF"/>
    <w:pPr>
      <w:pBdr>
        <w:bottom w:val="single" w:sz="4" w:space="1" w:color="4F81BD" w:themeColor="accent1"/>
      </w:pBdr>
      <w:tabs>
        <w:tab w:val="left" w:pos="1276"/>
      </w:tabs>
      <w:spacing w:after="240"/>
      <w:ind w:left="1276" w:hanging="1276"/>
    </w:pPr>
    <w:rPr>
      <w:smallCaps/>
      <w:color w:val="17365D" w:themeColor="text2" w:themeShade="BF"/>
      <w:spacing w:val="20"/>
    </w:rPr>
  </w:style>
  <w:style w:type="paragraph" w:customStyle="1" w:styleId="Retraitngatif">
    <w:name w:val="Retrait négatif"/>
    <w:basedOn w:val="Normal"/>
    <w:next w:val="Normal"/>
    <w:autoRedefine/>
    <w:unhideWhenUsed/>
    <w:qFormat/>
    <w:rsid w:val="00E85CBD"/>
    <w:pPr>
      <w:numPr>
        <w:numId w:val="25"/>
      </w:numPr>
      <w:ind w:left="0" w:hanging="567"/>
    </w:pPr>
  </w:style>
  <w:style w:type="character" w:styleId="Emphaseple">
    <w:name w:val="Subtle Emphasis"/>
    <w:basedOn w:val="Policepardfaut"/>
    <w:uiPriority w:val="19"/>
    <w:qFormat/>
    <w:rsid w:val="001B1C8E"/>
    <w:rPr>
      <w:i/>
      <w:iCs/>
      <w:color w:val="808080" w:themeColor="text1" w:themeTint="7F"/>
    </w:rPr>
  </w:style>
  <w:style w:type="table" w:styleId="Grilledutableau">
    <w:name w:val="Table Grid"/>
    <w:basedOn w:val="TableauNormal"/>
    <w:uiPriority w:val="59"/>
    <w:rsid w:val="007B5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24415B"/>
    <w:pPr>
      <w:spacing w:after="0" w:line="240" w:lineRule="auto"/>
      <w:jc w:val="left"/>
    </w:pPr>
    <w:rPr>
      <w:kern w:val="22"/>
      <w:lang w:val="fr-FR"/>
    </w:rPr>
  </w:style>
  <w:style w:type="character" w:styleId="Marquedecommentaire">
    <w:name w:val="annotation reference"/>
    <w:basedOn w:val="Policepardfaut"/>
    <w:uiPriority w:val="99"/>
    <w:semiHidden/>
    <w:unhideWhenUsed/>
    <w:locked/>
    <w:rsid w:val="0024415B"/>
    <w:rPr>
      <w:sz w:val="16"/>
      <w:szCs w:val="16"/>
    </w:rPr>
  </w:style>
  <w:style w:type="paragraph" w:styleId="Commentaire">
    <w:name w:val="annotation text"/>
    <w:basedOn w:val="Normal"/>
    <w:link w:val="CommentaireCar"/>
    <w:uiPriority w:val="99"/>
    <w:semiHidden/>
    <w:unhideWhenUsed/>
    <w:locked/>
    <w:rsid w:val="0024415B"/>
    <w:pPr>
      <w:spacing w:line="240" w:lineRule="auto"/>
    </w:pPr>
    <w:rPr>
      <w:sz w:val="20"/>
      <w:szCs w:val="20"/>
    </w:rPr>
  </w:style>
  <w:style w:type="character" w:customStyle="1" w:styleId="CommentaireCar">
    <w:name w:val="Commentaire Car"/>
    <w:basedOn w:val="Policepardfaut"/>
    <w:link w:val="Commentaire"/>
    <w:uiPriority w:val="99"/>
    <w:semiHidden/>
    <w:rsid w:val="0024415B"/>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24415B"/>
    <w:rPr>
      <w:b/>
      <w:bCs/>
    </w:rPr>
  </w:style>
  <w:style w:type="character" w:customStyle="1" w:styleId="ObjetducommentaireCar">
    <w:name w:val="Objet du commentaire Car"/>
    <w:basedOn w:val="CommentaireCar"/>
    <w:link w:val="Objetducommentaire"/>
    <w:uiPriority w:val="99"/>
    <w:semiHidden/>
    <w:rsid w:val="0024415B"/>
    <w:rPr>
      <w:b/>
      <w:bCs/>
      <w:kern w:val="22"/>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qFormat="1"/>
    <w:lsdException w:name="Default Paragraph Font" w:locked="0" w:uiPriority="1"/>
    <w:lsdException w:name="Subtitle" w:locked="0" w:uiPriority="11" w:unhideWhenUsed="0"/>
    <w:lsdException w:name="Strong" w:locked="0" w:uiPriority="22" w:unhideWhenUsed="0"/>
    <w:lsdException w:name="Emphasis" w:locked="0" w:uiPriority="20" w:unhideWhenUsed="0" w:qFormat="1"/>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59"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qFormat="1"/>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uiPriority="21" w:unhideWhenUsed="0" w:qFormat="1"/>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A16B84"/>
    <w:pPr>
      <w:spacing w:after="220"/>
    </w:pPr>
    <w:rPr>
      <w:kern w:val="22"/>
      <w:lang w:val="fr-FR"/>
    </w:rPr>
  </w:style>
  <w:style w:type="paragraph" w:styleId="Titre1">
    <w:name w:val="heading 1"/>
    <w:basedOn w:val="Normal"/>
    <w:next w:val="Normal"/>
    <w:link w:val="Titre1Car"/>
    <w:uiPriority w:val="9"/>
    <w:qFormat/>
    <w:rsid w:val="00DC3491"/>
    <w:pPr>
      <w:keepNext/>
      <w:numPr>
        <w:numId w:val="5"/>
      </w:numPr>
      <w:pBdr>
        <w:bottom w:val="single" w:sz="12" w:space="1" w:color="17365D" w:themeColor="text2" w:themeShade="BF"/>
      </w:pBdr>
      <w:tabs>
        <w:tab w:val="clear" w:pos="125"/>
        <w:tab w:val="num" w:pos="851"/>
      </w:tabs>
      <w:spacing w:before="480"/>
      <w:ind w:left="851" w:hanging="851"/>
      <w:jc w:val="left"/>
      <w:outlineLvl w:val="0"/>
    </w:pPr>
    <w:rPr>
      <w:b/>
      <w:caps/>
      <w:color w:val="17365D" w:themeColor="text2" w:themeShade="BF"/>
      <w:spacing w:val="40"/>
      <w:sz w:val="28"/>
      <w:szCs w:val="24"/>
    </w:rPr>
  </w:style>
  <w:style w:type="paragraph" w:styleId="Titre2">
    <w:name w:val="heading 2"/>
    <w:basedOn w:val="Titre1"/>
    <w:link w:val="Titre2Car"/>
    <w:uiPriority w:val="9"/>
    <w:qFormat/>
    <w:rsid w:val="003C3530"/>
    <w:pPr>
      <w:keepNext w:val="0"/>
      <w:numPr>
        <w:ilvl w:val="1"/>
      </w:numPr>
      <w:pBdr>
        <w:bottom w:val="none" w:sz="0" w:space="0" w:color="auto"/>
      </w:pBdr>
      <w:tabs>
        <w:tab w:val="clear" w:pos="69"/>
        <w:tab w:val="num" w:pos="851"/>
      </w:tabs>
      <w:ind w:left="851" w:hanging="851"/>
      <w:jc w:val="both"/>
      <w:outlineLvl w:val="1"/>
    </w:pPr>
    <w:rPr>
      <w:b w:val="0"/>
      <w:caps w:val="0"/>
      <w:color w:val="auto"/>
      <w:spacing w:val="0"/>
      <w:sz w:val="22"/>
    </w:rPr>
  </w:style>
  <w:style w:type="paragraph" w:styleId="Titre3">
    <w:name w:val="heading 3"/>
    <w:basedOn w:val="Titre2"/>
    <w:link w:val="Titre3Car"/>
    <w:uiPriority w:val="9"/>
    <w:qFormat/>
    <w:rsid w:val="009D0870"/>
    <w:pPr>
      <w:numPr>
        <w:ilvl w:val="2"/>
      </w:numPr>
      <w:tabs>
        <w:tab w:val="clear" w:pos="69"/>
        <w:tab w:val="left" w:pos="851"/>
      </w:tabs>
      <w:spacing w:after="0"/>
      <w:ind w:left="851" w:hanging="851"/>
      <w:outlineLvl w:val="2"/>
    </w:pPr>
  </w:style>
  <w:style w:type="paragraph" w:styleId="Titre4">
    <w:name w:val="heading 4"/>
    <w:basedOn w:val="Titre3"/>
    <w:link w:val="Titre4Car"/>
    <w:uiPriority w:val="9"/>
    <w:unhideWhenUsed/>
    <w:qFormat/>
    <w:rsid w:val="001B1C8E"/>
    <w:pPr>
      <w:numPr>
        <w:ilvl w:val="3"/>
      </w:numPr>
      <w:tabs>
        <w:tab w:val="clear" w:pos="737"/>
        <w:tab w:val="clear" w:pos="851"/>
        <w:tab w:val="num" w:pos="1588"/>
      </w:tabs>
      <w:spacing w:before="120" w:after="120"/>
      <w:ind w:left="851" w:hanging="284"/>
      <w:outlineLvl w:val="3"/>
    </w:pPr>
    <w:rPr>
      <w:szCs w:val="22"/>
    </w:rPr>
  </w:style>
  <w:style w:type="paragraph" w:styleId="Titre5">
    <w:name w:val="heading 5"/>
    <w:basedOn w:val="Titre4"/>
    <w:link w:val="Titre5Car"/>
    <w:uiPriority w:val="9"/>
    <w:unhideWhenUsed/>
    <w:qFormat/>
    <w:rsid w:val="001B1C8E"/>
    <w:pPr>
      <w:numPr>
        <w:ilvl w:val="4"/>
      </w:numPr>
      <w:tabs>
        <w:tab w:val="clear" w:pos="907"/>
      </w:tabs>
      <w:ind w:left="1843" w:hanging="567"/>
      <w:outlineLvl w:val="4"/>
    </w:pPr>
  </w:style>
  <w:style w:type="paragraph" w:styleId="Titre6">
    <w:name w:val="heading 6"/>
    <w:basedOn w:val="Titre5"/>
    <w:link w:val="Titre6Car"/>
    <w:uiPriority w:val="9"/>
    <w:unhideWhenUsed/>
    <w:qFormat/>
    <w:rsid w:val="001B1C8E"/>
    <w:pPr>
      <w:numPr>
        <w:ilvl w:val="5"/>
      </w:numPr>
      <w:tabs>
        <w:tab w:val="clear" w:pos="1304"/>
      </w:tabs>
      <w:ind w:left="2098" w:hanging="397"/>
      <w:outlineLvl w:val="5"/>
    </w:pPr>
    <w:rPr>
      <w:spacing w:val="5"/>
    </w:rPr>
  </w:style>
  <w:style w:type="paragraph" w:styleId="Titre7">
    <w:name w:val="heading 7"/>
    <w:basedOn w:val="Normal"/>
    <w:next w:val="Normal"/>
    <w:link w:val="Titre7Car"/>
    <w:uiPriority w:val="9"/>
    <w:semiHidden/>
    <w:rsid w:val="000C03E8"/>
    <w:pPr>
      <w:numPr>
        <w:ilvl w:val="6"/>
        <w:numId w:val="5"/>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qFormat/>
    <w:rsid w:val="005F2364"/>
    <w:pPr>
      <w:numPr>
        <w:ilvl w:val="7"/>
        <w:numId w:val="5"/>
      </w:numPr>
      <w:jc w:val="left"/>
      <w:outlineLvl w:val="7"/>
    </w:pPr>
    <w:rPr>
      <w:b/>
      <w:i/>
      <w:smallCaps/>
      <w:color w:val="943634" w:themeColor="accent2" w:themeShade="BF"/>
      <w:lang w:val="en-US"/>
    </w:rPr>
  </w:style>
  <w:style w:type="paragraph" w:styleId="Titre9">
    <w:name w:val="heading 9"/>
    <w:basedOn w:val="Normal"/>
    <w:next w:val="Normal"/>
    <w:link w:val="Titre9Car"/>
    <w:uiPriority w:val="9"/>
    <w:semiHidden/>
    <w:qFormat/>
    <w:rsid w:val="005F2364"/>
    <w:pPr>
      <w:numPr>
        <w:ilvl w:val="8"/>
        <w:numId w:val="5"/>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3491"/>
    <w:rPr>
      <w:b/>
      <w:caps/>
      <w:color w:val="17365D" w:themeColor="text2" w:themeShade="BF"/>
      <w:spacing w:val="40"/>
      <w:kern w:val="22"/>
      <w:sz w:val="28"/>
      <w:szCs w:val="24"/>
      <w:lang w:val="fr-FR"/>
    </w:rPr>
  </w:style>
  <w:style w:type="character" w:customStyle="1" w:styleId="Titre2Car">
    <w:name w:val="Titre 2 Car"/>
    <w:basedOn w:val="Policepardfaut"/>
    <w:link w:val="Titre2"/>
    <w:uiPriority w:val="9"/>
    <w:rsid w:val="003C3530"/>
    <w:rPr>
      <w:kern w:val="22"/>
      <w:szCs w:val="24"/>
      <w:lang w:val="fr-FR"/>
    </w:rPr>
  </w:style>
  <w:style w:type="paragraph" w:customStyle="1" w:styleId="Listei-ii">
    <w:name w:val="Liste i - ii"/>
    <w:basedOn w:val="Normal"/>
    <w:qFormat/>
    <w:rsid w:val="00CB6ACF"/>
    <w:pPr>
      <w:numPr>
        <w:numId w:val="14"/>
      </w:numPr>
      <w:spacing w:after="240"/>
      <w:ind w:left="1208" w:hanging="357"/>
    </w:pPr>
  </w:style>
  <w:style w:type="paragraph" w:styleId="Listepuces">
    <w:name w:val="List Bullet"/>
    <w:basedOn w:val="bulletpoint"/>
    <w:uiPriority w:val="99"/>
    <w:locked/>
    <w:rsid w:val="007F2D79"/>
  </w:style>
  <w:style w:type="character" w:customStyle="1" w:styleId="Titre3Car">
    <w:name w:val="Titre 3 Car"/>
    <w:basedOn w:val="Policepardfaut"/>
    <w:link w:val="Titre3"/>
    <w:uiPriority w:val="9"/>
    <w:rsid w:val="00496D2A"/>
    <w:rPr>
      <w:kern w:val="22"/>
      <w:szCs w:val="24"/>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
    <w:rsid w:val="001B1C8E"/>
    <w:rPr>
      <w:kern w:val="22"/>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
    <w:rsid w:val="001B1C8E"/>
    <w:rPr>
      <w:kern w:val="22"/>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
    <w:rsid w:val="001B1C8E"/>
    <w:rPr>
      <w:spacing w:val="5"/>
      <w:kern w:val="22"/>
      <w:lang w:val="fr-FR"/>
    </w:rPr>
  </w:style>
  <w:style w:type="paragraph" w:customStyle="1" w:styleId="RetraitDroit">
    <w:name w:val="Retrait Droit"/>
    <w:basedOn w:val="Normal"/>
    <w:rsid w:val="00F61830"/>
    <w:pPr>
      <w:numPr>
        <w:ilvl w:val="7"/>
      </w:numPr>
      <w:spacing w:before="160" w:after="120"/>
      <w:ind w:left="1276"/>
    </w:pPr>
    <w:rPr>
      <w:szCs w:val="28"/>
    </w:rPr>
  </w:style>
  <w:style w:type="character" w:customStyle="1" w:styleId="Titre7Car">
    <w:name w:val="Titre 7 Car"/>
    <w:basedOn w:val="Policepardfaut"/>
    <w:link w:val="Titre7"/>
    <w:uiPriority w:val="9"/>
    <w:semiHidden/>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semiHidden/>
    <w:rsid w:val="005F2364"/>
    <w:rPr>
      <w:b/>
      <w:i/>
      <w:smallCaps/>
      <w:color w:val="943634" w:themeColor="accent2" w:themeShade="BF"/>
      <w:kern w:val="22"/>
    </w:rPr>
  </w:style>
  <w:style w:type="character" w:customStyle="1" w:styleId="Titre9Car">
    <w:name w:val="Titre 9 Car"/>
    <w:basedOn w:val="Policepardfaut"/>
    <w:link w:val="Titre9"/>
    <w:uiPriority w:val="9"/>
    <w:semiHidden/>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qFormat/>
    <w:rsid w:val="00547648"/>
    <w:pPr>
      <w:keepNext/>
      <w:pBdr>
        <w:top w:val="thinThickLargeGap" w:sz="24" w:space="8" w:color="365F91" w:themeColor="accent1" w:themeShade="BF"/>
        <w:bottom w:val="thickThinLargeGap" w:sz="24" w:space="1" w:color="365F91" w:themeColor="accent1" w:themeShade="BF"/>
      </w:pBdr>
      <w:spacing w:before="600" w:after="1200" w:line="336" w:lineRule="auto"/>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47648"/>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qFormat/>
    <w:rsid w:val="00022887"/>
    <w:pPr>
      <w:spacing w:after="240"/>
      <w:ind w:left="851" w:hanging="284"/>
    </w:pPr>
    <w:rPr>
      <w:i/>
      <w:iCs/>
    </w:rPr>
  </w:style>
  <w:style w:type="character" w:customStyle="1" w:styleId="CitationCar">
    <w:name w:val="Citation Car"/>
    <w:basedOn w:val="Policepardfaut"/>
    <w:link w:val="Citation"/>
    <w:uiPriority w:val="29"/>
    <w:rsid w:val="00022887"/>
    <w:rPr>
      <w:i/>
      <w:iCs/>
      <w:kern w:val="22"/>
      <w:lang w:val="fr-FR"/>
    </w:rPr>
  </w:style>
  <w:style w:type="paragraph" w:styleId="Citationintense">
    <w:name w:val="Intense Quote"/>
    <w:basedOn w:val="Normal"/>
    <w:next w:val="Normal"/>
    <w:link w:val="CitationintenseCar"/>
    <w:uiPriority w:val="30"/>
    <w:rsid w:val="003468E0"/>
    <w:pPr>
      <w:pBdr>
        <w:bottom w:val="single" w:sz="4" w:space="1" w:color="auto"/>
      </w:pBdr>
      <w:tabs>
        <w:tab w:val="left" w:pos="9070"/>
      </w:tabs>
      <w:spacing w:before="200" w:after="600"/>
    </w:pPr>
    <w:rPr>
      <w:b/>
      <w:bCs/>
      <w:iCs/>
      <w:smallCaps/>
      <w:spacing w:val="60"/>
      <w:sz w:val="24"/>
    </w:rPr>
  </w:style>
  <w:style w:type="character" w:customStyle="1" w:styleId="CitationintenseCar">
    <w:name w:val="Citation intense Car"/>
    <w:basedOn w:val="Policepardfaut"/>
    <w:link w:val="Citationintense"/>
    <w:uiPriority w:val="30"/>
    <w:rsid w:val="003468E0"/>
    <w:rPr>
      <w:b/>
      <w:bCs/>
      <w:iCs/>
      <w:smallCaps/>
      <w:spacing w:val="60"/>
      <w:kern w:val="22"/>
      <w:sz w:val="24"/>
      <w:lang w:val="fr-FR"/>
    </w:rPr>
  </w:style>
  <w:style w:type="paragraph" w:styleId="En-ttedetabledesmatires">
    <w:name w:val="TOC Heading"/>
    <w:basedOn w:val="Titre1"/>
    <w:next w:val="Normal"/>
    <w:uiPriority w:val="39"/>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qFormat/>
    <w:rsid w:val="005F2364"/>
    <w:pPr>
      <w:ind w:left="4956"/>
    </w:pPr>
  </w:style>
  <w:style w:type="paragraph" w:customStyle="1" w:styleId="grasitalique">
    <w:name w:val="gras italique"/>
    <w:basedOn w:val="Normal"/>
    <w:qFormat/>
    <w:rsid w:val="00CB6ACF"/>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aliases w:val="Italique"/>
    <w:basedOn w:val="Policepardfaut"/>
    <w:uiPriority w:val="20"/>
    <w:qFormat/>
    <w:rsid w:val="005F2364"/>
    <w:rPr>
      <w:i/>
      <w:iCs/>
    </w:rPr>
  </w:style>
  <w:style w:type="character" w:styleId="Emphaseintense">
    <w:name w:val="Intense Emphasis"/>
    <w:aliases w:val="gras"/>
    <w:uiPriority w:val="21"/>
    <w:qFormat/>
    <w:rsid w:val="000C03E8"/>
    <w:rPr>
      <w:b/>
      <w:bCs/>
    </w:rPr>
  </w:style>
  <w:style w:type="paragraph" w:styleId="Explorateurdedocuments">
    <w:name w:val="Document Map"/>
    <w:basedOn w:val="Normal"/>
    <w:link w:val="ExplorateurdedocumentsCar"/>
    <w:uiPriority w:val="99"/>
    <w:semiHidden/>
    <w:unhideWhenUsed/>
    <w:locked/>
    <w:rsid w:val="00051A1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styleId="Paragraphedeliste">
    <w:name w:val="List Paragraph"/>
    <w:basedOn w:val="Normal"/>
    <w:uiPriority w:val="34"/>
    <w:qFormat/>
    <w:rsid w:val="00113936"/>
    <w:pPr>
      <w:ind w:left="720"/>
      <w:contextualSpacing/>
    </w:pPr>
    <w:rPr>
      <w:rFonts w:ascii="Calibri" w:eastAsia="Calibri" w:hAnsi="Calibri" w:cs="Times New Roman"/>
    </w:rPr>
  </w:style>
  <w:style w:type="paragraph" w:customStyle="1" w:styleId="Inter-Titrenonnumrot">
    <w:name w:val="Inter-Titre (non numéroté)"/>
    <w:basedOn w:val="Normal"/>
    <w:next w:val="Normal"/>
    <w:qFormat/>
    <w:rsid w:val="00523395"/>
    <w:pPr>
      <w:pBdr>
        <w:bottom w:val="thickThinLargeGap" w:sz="24" w:space="1" w:color="17365D" w:themeColor="text2" w:themeShade="BF"/>
      </w:pBdr>
      <w:spacing w:before="360" w:after="240"/>
      <w:outlineLvl w:val="0"/>
    </w:pPr>
    <w:rPr>
      <w:smallCaps/>
      <w:color w:val="0F243E" w:themeColor="text2" w:themeShade="80"/>
      <w:spacing w:val="20"/>
      <w:sz w:val="32"/>
      <w:szCs w:val="32"/>
    </w:rPr>
  </w:style>
  <w:style w:type="paragraph" w:customStyle="1" w:styleId="ListePrambuleAlpha">
    <w:name w:val="Liste Préambule (Alpha)"/>
    <w:basedOn w:val="Paragraphedeliste"/>
    <w:qFormat/>
    <w:rsid w:val="00E85CBD"/>
    <w:pPr>
      <w:numPr>
        <w:numId w:val="19"/>
      </w:numPr>
      <w:ind w:left="851" w:hanging="851"/>
      <w:contextualSpacing w:val="0"/>
    </w:pPr>
  </w:style>
  <w:style w:type="paragraph" w:customStyle="1" w:styleId="Titre21ligne">
    <w:name w:val="Titre 2 (1 ligne)"/>
    <w:basedOn w:val="Titre2"/>
    <w:next w:val="Normal"/>
    <w:qFormat/>
    <w:rsid w:val="00DC3491"/>
    <w:pPr>
      <w:keepNext/>
      <w:pBdr>
        <w:bottom w:val="single" w:sz="4" w:space="1" w:color="0F243E" w:themeColor="text2" w:themeShade="80"/>
      </w:pBdr>
      <w:spacing w:after="360"/>
    </w:pPr>
    <w:rPr>
      <w:b/>
      <w:smallCaps/>
      <w:color w:val="17365D" w:themeColor="text2" w:themeShade="BF"/>
      <w:spacing w:val="40"/>
      <w:sz w:val="24"/>
      <w:szCs w:val="22"/>
    </w:rPr>
  </w:style>
  <w:style w:type="paragraph" w:styleId="TM1">
    <w:name w:val="toc 1"/>
    <w:basedOn w:val="Normal"/>
    <w:next w:val="Normal"/>
    <w:autoRedefine/>
    <w:uiPriority w:val="39"/>
    <w:unhideWhenUsed/>
    <w:locked/>
    <w:rsid w:val="009139AC"/>
    <w:pPr>
      <w:spacing w:after="100"/>
    </w:pPr>
    <w:rPr>
      <w:sz w:val="18"/>
    </w:rPr>
  </w:style>
  <w:style w:type="paragraph" w:styleId="TM2">
    <w:name w:val="toc 2"/>
    <w:basedOn w:val="Normal"/>
    <w:next w:val="Normal"/>
    <w:autoRedefine/>
    <w:uiPriority w:val="39"/>
    <w:unhideWhenUsed/>
    <w:locked/>
    <w:rsid w:val="009139AC"/>
    <w:pPr>
      <w:spacing w:after="100"/>
      <w:ind w:left="220"/>
    </w:pPr>
    <w:rPr>
      <w:sz w:val="18"/>
    </w:rPr>
  </w:style>
  <w:style w:type="paragraph" w:styleId="TM3">
    <w:name w:val="toc 3"/>
    <w:basedOn w:val="Normal"/>
    <w:next w:val="Normal"/>
    <w:autoRedefine/>
    <w:uiPriority w:val="39"/>
    <w:unhideWhenUsed/>
    <w:locked/>
    <w:rsid w:val="009139AC"/>
    <w:pPr>
      <w:spacing w:after="100"/>
      <w:ind w:left="440"/>
    </w:pPr>
    <w:rPr>
      <w:sz w:val="18"/>
    </w:rPr>
  </w:style>
  <w:style w:type="character" w:styleId="Lienhypertexte">
    <w:name w:val="Hyperlink"/>
    <w:basedOn w:val="Policepardfaut"/>
    <w:uiPriority w:val="99"/>
    <w:unhideWhenUsed/>
    <w:locked/>
    <w:rsid w:val="00B06ACE"/>
    <w:rPr>
      <w:color w:val="0000FF" w:themeColor="hyperlink"/>
      <w:u w:val="single"/>
    </w:rPr>
  </w:style>
  <w:style w:type="paragraph" w:customStyle="1" w:styleId="bulletpoint">
    <w:name w:val="bullet point"/>
    <w:basedOn w:val="Paragraphedeliste"/>
    <w:qFormat/>
    <w:rsid w:val="00CB6ACF"/>
    <w:pPr>
      <w:numPr>
        <w:numId w:val="22"/>
      </w:numPr>
      <w:ind w:left="1208" w:hanging="357"/>
    </w:pPr>
  </w:style>
  <w:style w:type="paragraph" w:customStyle="1" w:styleId="RetraitGauche">
    <w:name w:val="Retrait Gauche"/>
    <w:basedOn w:val="Normal"/>
    <w:next w:val="Normal"/>
    <w:rsid w:val="00E85CBD"/>
  </w:style>
  <w:style w:type="paragraph" w:customStyle="1" w:styleId="Titre31ligne">
    <w:name w:val="Titre 3 (1 ligne)"/>
    <w:basedOn w:val="Titre3"/>
    <w:next w:val="Normal"/>
    <w:qFormat/>
    <w:rsid w:val="00CB6ACF"/>
    <w:pPr>
      <w:pBdr>
        <w:bottom w:val="single" w:sz="4" w:space="1" w:color="1F497D" w:themeColor="text2"/>
      </w:pBdr>
      <w:spacing w:after="240"/>
    </w:pPr>
    <w:rPr>
      <w:smallCaps/>
      <w:color w:val="17365D" w:themeColor="text2" w:themeShade="BF"/>
      <w:spacing w:val="20"/>
    </w:rPr>
  </w:style>
  <w:style w:type="paragraph" w:customStyle="1" w:styleId="Titre41ligne">
    <w:name w:val="Titre 4 (1 ligne)"/>
    <w:basedOn w:val="Titre4"/>
    <w:next w:val="RetraitDroit"/>
    <w:qFormat/>
    <w:rsid w:val="00CB6ACF"/>
    <w:pPr>
      <w:pBdr>
        <w:bottom w:val="single" w:sz="4" w:space="1" w:color="4F81BD" w:themeColor="accent1"/>
      </w:pBdr>
      <w:tabs>
        <w:tab w:val="left" w:pos="1276"/>
      </w:tabs>
      <w:spacing w:after="240"/>
      <w:ind w:left="1276" w:hanging="1276"/>
    </w:pPr>
    <w:rPr>
      <w:smallCaps/>
      <w:color w:val="17365D" w:themeColor="text2" w:themeShade="BF"/>
      <w:spacing w:val="20"/>
    </w:rPr>
  </w:style>
  <w:style w:type="paragraph" w:customStyle="1" w:styleId="Retraitngatif">
    <w:name w:val="Retrait négatif"/>
    <w:basedOn w:val="Normal"/>
    <w:next w:val="Normal"/>
    <w:autoRedefine/>
    <w:unhideWhenUsed/>
    <w:qFormat/>
    <w:rsid w:val="00E85CBD"/>
    <w:pPr>
      <w:numPr>
        <w:numId w:val="25"/>
      </w:numPr>
      <w:ind w:left="0" w:hanging="567"/>
    </w:pPr>
  </w:style>
  <w:style w:type="character" w:styleId="Emphaseple">
    <w:name w:val="Subtle Emphasis"/>
    <w:basedOn w:val="Policepardfaut"/>
    <w:uiPriority w:val="19"/>
    <w:qFormat/>
    <w:rsid w:val="001B1C8E"/>
    <w:rPr>
      <w:i/>
      <w:iCs/>
      <w:color w:val="808080" w:themeColor="text1" w:themeTint="7F"/>
    </w:rPr>
  </w:style>
  <w:style w:type="table" w:styleId="Grilledutableau">
    <w:name w:val="Table Grid"/>
    <w:basedOn w:val="TableauNormal"/>
    <w:uiPriority w:val="59"/>
    <w:rsid w:val="007B5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24415B"/>
    <w:pPr>
      <w:spacing w:after="0" w:line="240" w:lineRule="auto"/>
      <w:jc w:val="left"/>
    </w:pPr>
    <w:rPr>
      <w:kern w:val="22"/>
      <w:lang w:val="fr-FR"/>
    </w:rPr>
  </w:style>
  <w:style w:type="character" w:styleId="Marquedecommentaire">
    <w:name w:val="annotation reference"/>
    <w:basedOn w:val="Policepardfaut"/>
    <w:uiPriority w:val="99"/>
    <w:semiHidden/>
    <w:unhideWhenUsed/>
    <w:locked/>
    <w:rsid w:val="0024415B"/>
    <w:rPr>
      <w:sz w:val="16"/>
      <w:szCs w:val="16"/>
    </w:rPr>
  </w:style>
  <w:style w:type="paragraph" w:styleId="Commentaire">
    <w:name w:val="annotation text"/>
    <w:basedOn w:val="Normal"/>
    <w:link w:val="CommentaireCar"/>
    <w:uiPriority w:val="99"/>
    <w:semiHidden/>
    <w:unhideWhenUsed/>
    <w:locked/>
    <w:rsid w:val="0024415B"/>
    <w:pPr>
      <w:spacing w:line="240" w:lineRule="auto"/>
    </w:pPr>
    <w:rPr>
      <w:sz w:val="20"/>
      <w:szCs w:val="20"/>
    </w:rPr>
  </w:style>
  <w:style w:type="character" w:customStyle="1" w:styleId="CommentaireCar">
    <w:name w:val="Commentaire Car"/>
    <w:basedOn w:val="Policepardfaut"/>
    <w:link w:val="Commentaire"/>
    <w:uiPriority w:val="99"/>
    <w:semiHidden/>
    <w:rsid w:val="0024415B"/>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24415B"/>
    <w:rPr>
      <w:b/>
      <w:bCs/>
    </w:rPr>
  </w:style>
  <w:style w:type="character" w:customStyle="1" w:styleId="ObjetducommentaireCar">
    <w:name w:val="Objet du commentaire Car"/>
    <w:basedOn w:val="CommentaireCar"/>
    <w:link w:val="Objetducommentaire"/>
    <w:uiPriority w:val="99"/>
    <w:semiHidden/>
    <w:rsid w:val="0024415B"/>
    <w:rPr>
      <w:b/>
      <w:bCs/>
      <w:kern w:val="22"/>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ms%20config\racine\racinetms\templates\Blan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F61A95-9B95-4046-8D6B-B89D76FD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Blanc.dotx</Template>
  <TotalTime>418</TotalTime>
  <Pages>37</Pages>
  <Words>5944</Words>
  <Characters>32694</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Acte de procédure</vt:lpstr>
    </vt:vector>
  </TitlesOfParts>
  <Company>RACINE</Company>
  <LinksUpToDate>false</LinksUpToDate>
  <CharactersWithSpaces>38561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de procédure</dc:title>
  <dc:creator>bakouchem</dc:creator>
  <cp:keywords>Procédure</cp:keywords>
  <cp:lastModifiedBy>Verena Bonnet</cp:lastModifiedBy>
  <cp:revision>55</cp:revision>
  <cp:lastPrinted>2013-05-24T15:48:00Z</cp:lastPrinted>
  <dcterms:created xsi:type="dcterms:W3CDTF">2013-06-07T09:34:00Z</dcterms:created>
  <dcterms:modified xsi:type="dcterms:W3CDTF">2013-06-07T16:31:00Z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vt:lpwstr>
  </property>
</Properties>
</file>