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31" w:rsidRDefault="00595731">
      <w:pPr>
        <w:spacing w:before="120"/>
        <w:rPr>
          <w:rFonts w:ascii="Verdana" w:hAnsi="Verdana"/>
          <w:b/>
          <w:sz w:val="18"/>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3600"/>
        <w:gridCol w:w="1800"/>
        <w:gridCol w:w="2400"/>
      </w:tblGrid>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 xml:space="preserve">                Site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LES ANCIZES</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p>
        </w:tc>
        <w:tc>
          <w:tcPr>
            <w:tcW w:w="2400" w:type="dxa"/>
            <w:tcBorders>
              <w:top w:val="nil"/>
              <w:left w:val="nil"/>
              <w:bottom w:val="nil"/>
              <w:right w:val="nil"/>
            </w:tcBorders>
            <w:vAlign w:val="center"/>
          </w:tcPr>
          <w:p w:rsidR="00595731" w:rsidRDefault="00595731">
            <w:pPr>
              <w:spacing w:before="120"/>
              <w:ind w:right="360"/>
              <w:rPr>
                <w:rFonts w:ascii="Verdana" w:hAnsi="Verdana"/>
                <w:sz w:val="18"/>
              </w:rPr>
            </w:pPr>
          </w:p>
        </w:tc>
      </w:tr>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Direction /Service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ELABORATION</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Date :</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16/1/2014</w:t>
            </w:r>
          </w:p>
        </w:tc>
      </w:tr>
      <w:tr w:rsidR="00595731">
        <w:trPr>
          <w:trHeight w:val="454"/>
        </w:trPr>
        <w:tc>
          <w:tcPr>
            <w:tcW w:w="2040" w:type="dxa"/>
            <w:tcBorders>
              <w:top w:val="nil"/>
              <w:left w:val="nil"/>
              <w:bottom w:val="nil"/>
              <w:right w:val="nil"/>
            </w:tcBorders>
            <w:vAlign w:val="center"/>
          </w:tcPr>
          <w:p w:rsidR="00595731" w:rsidRDefault="00595731">
            <w:pPr>
              <w:autoSpaceDE w:val="0"/>
              <w:autoSpaceDN w:val="0"/>
              <w:adjustRightInd w:val="0"/>
              <w:ind w:right="-70"/>
              <w:jc w:val="right"/>
              <w:rPr>
                <w:rFonts w:ascii="MS Shell Dlg" w:hAnsi="MS Shell Dlg"/>
                <w:sz w:val="18"/>
              </w:rPr>
            </w:pPr>
            <w:r>
              <w:rPr>
                <w:rFonts w:ascii="Verdana" w:hAnsi="Verdana"/>
                <w:sz w:val="18"/>
              </w:rPr>
              <w:t>Émetteur :</w:t>
            </w:r>
          </w:p>
        </w:tc>
        <w:tc>
          <w:tcPr>
            <w:tcW w:w="3600" w:type="dxa"/>
            <w:tcBorders>
              <w:top w:val="nil"/>
              <w:left w:val="nil"/>
              <w:bottom w:val="nil"/>
              <w:right w:val="nil"/>
            </w:tcBorders>
            <w:vAlign w:val="center"/>
          </w:tcPr>
          <w:p w:rsidR="00595731" w:rsidRDefault="00843CCD">
            <w:pPr>
              <w:spacing w:before="120"/>
              <w:ind w:right="360"/>
              <w:rPr>
                <w:rFonts w:ascii="Verdana" w:hAnsi="Verdana"/>
                <w:sz w:val="18"/>
              </w:rPr>
            </w:pPr>
            <w:r>
              <w:rPr>
                <w:rFonts w:ascii="Verdana" w:hAnsi="Verdana"/>
                <w:sz w:val="18"/>
              </w:rPr>
              <w:t>R. ALLIER</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Réf.</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585</w:t>
            </w:r>
          </w:p>
        </w:tc>
      </w:tr>
    </w:tbl>
    <w:p w:rsidR="00595731" w:rsidRDefault="00595731">
      <w:pPr>
        <w:rPr>
          <w:rFonts w:ascii="Verdana" w:hAnsi="Verdana"/>
          <w:sz w:val="18"/>
        </w:rPr>
      </w:pPr>
    </w:p>
    <w:p w:rsidR="00595731" w:rsidRDefault="00D429CB">
      <w:pPr>
        <w:rPr>
          <w:rFonts w:ascii="Verdana" w:hAnsi="Verdana"/>
          <w:sz w:val="18"/>
        </w:rPr>
      </w:pPr>
      <w:r>
        <w:rPr>
          <w:rFonts w:ascii="Verdana" w:hAnsi="Verdana"/>
          <w:noProof/>
          <w:sz w:val="18"/>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57150</wp:posOffset>
                </wp:positionV>
                <wp:extent cx="64770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1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" o:allowincell="f" strokecolor="red"/>
            </w:pict>
          </mc:Fallback>
        </mc:AlternateContent>
      </w:r>
    </w:p>
    <w:p w:rsidR="00595731" w:rsidRDefault="00595731">
      <w:pPr>
        <w:ind w:right="4"/>
        <w:rPr>
          <w:rFonts w:ascii="Verdana" w:hAnsi="Verdana"/>
          <w:sz w:val="18"/>
        </w:rPr>
      </w:pPr>
      <w:r>
        <w:rPr>
          <w:rFonts w:ascii="Verdana" w:hAnsi="Verdana"/>
          <w:b/>
          <w:sz w:val="18"/>
        </w:rPr>
        <w:t>Destinataire(s)</w:t>
      </w:r>
      <w:r>
        <w:rPr>
          <w:rFonts w:ascii="Verdana" w:hAnsi="Verdana"/>
          <w:sz w:val="18"/>
        </w:rPr>
        <w:t> :</w:t>
      </w:r>
      <w:r w:rsidR="00434CB2">
        <w:rPr>
          <w:rFonts w:ascii="Verdana" w:hAnsi="Verdana"/>
          <w:sz w:val="18"/>
        </w:rPr>
        <w:t xml:space="preserve"> </w:t>
      </w:r>
      <w:r w:rsidR="00997154">
        <w:rPr>
          <w:rFonts w:ascii="Verdana" w:hAnsi="Verdana"/>
          <w:sz w:val="18"/>
        </w:rPr>
        <w:t>M. MORGEN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7216" behindDoc="0" locked="0" layoutInCell="0" allowOverlap="1">
                <wp:simplePos x="0" y="0"/>
                <wp:positionH relativeFrom="column">
                  <wp:posOffset>1066800</wp:posOffset>
                </wp:positionH>
                <wp:positionV relativeFrom="paragraph">
                  <wp:posOffset>22225</wp:posOffset>
                </wp:positionV>
                <wp:extent cx="541020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75pt" to="51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o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" o:allowincell="f" strokecolor="gray"/>
            </w:pict>
          </mc:Fallback>
        </mc:AlternateContent>
      </w:r>
      <w:r w:rsidR="00595731">
        <w:rPr>
          <w:rFonts w:ascii="Verdana" w:hAnsi="Verdana"/>
          <w:sz w:val="18"/>
        </w:rPr>
        <w:t>Copie(s) :</w:t>
      </w:r>
      <w:r w:rsidR="00434CB2">
        <w:rPr>
          <w:rFonts w:ascii="Verdana" w:hAnsi="Verdana"/>
          <w:sz w:val="18"/>
        </w:rPr>
        <w:t xml:space="preserve"> </w:t>
      </w:r>
      <w:r w:rsidR="00997154">
        <w:rPr>
          <w:rFonts w:ascii="Verdana" w:hAnsi="Verdana"/>
          <w:sz w:val="18"/>
        </w:rPr>
        <w:t>MM. DELABORDE, HERITIER</w:t>
      </w:r>
      <w:r w:rsidR="00CE6E52">
        <w:rPr>
          <w:rFonts w:ascii="Verdana" w:hAnsi="Verdana"/>
          <w:sz w:val="18"/>
        </w:rPr>
        <w:t>, POISSON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8240" behindDoc="0" locked="0" layoutInCell="0" allowOverlap="1">
                <wp:simplePos x="0" y="0"/>
                <wp:positionH relativeFrom="column">
                  <wp:posOffset>533400</wp:posOffset>
                </wp:positionH>
                <wp:positionV relativeFrom="paragraph">
                  <wp:posOffset>35560</wp:posOffset>
                </wp:positionV>
                <wp:extent cx="594360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pt" to="51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cB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" o:allowincell="f" strokecolor="gray"/>
            </w:pict>
          </mc:Fallback>
        </mc:AlternateContent>
      </w:r>
      <w:r w:rsidR="00595731">
        <w:rPr>
          <w:rFonts w:ascii="Verdana" w:hAnsi="Verdana"/>
          <w:sz w:val="18"/>
        </w:rPr>
        <w:t>Objet :</w:t>
      </w:r>
      <w:r w:rsidR="00434CB2">
        <w:rPr>
          <w:rFonts w:ascii="Verdana" w:hAnsi="Verdana"/>
          <w:sz w:val="18"/>
        </w:rPr>
        <w:t xml:space="preserve"> </w:t>
      </w:r>
      <w:r w:rsidR="00997154">
        <w:rPr>
          <w:rFonts w:ascii="Verdana" w:hAnsi="Verdana"/>
          <w:sz w:val="18"/>
        </w:rPr>
        <w:t>Estimation d’un prix de Titane 10.2.3</w:t>
      </w:r>
    </w:p>
    <w:p w:rsidR="00595731" w:rsidRDefault="00D429CB">
      <w:pPr>
        <w:spacing w:before="120"/>
        <w:ind w:right="8404"/>
        <w:rPr>
          <w:rFonts w:ascii="Verdana" w:hAnsi="Verdana"/>
          <w:sz w:val="18"/>
        </w:rPr>
      </w:pPr>
      <w:r>
        <w:rPr>
          <w:rFonts w:ascii="Verdana" w:hAnsi="Verdana"/>
          <w:noProof/>
          <w:sz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130175</wp:posOffset>
                </wp:positionV>
                <wp:extent cx="6477000"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51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" o:allowincell="f" strokecolor="gray"/>
            </w:pict>
          </mc:Fallback>
        </mc:AlternateContent>
      </w:r>
    </w:p>
    <w:p w:rsidR="009D08F3" w:rsidRDefault="00997154" w:rsidP="00997154">
      <w:pPr>
        <w:spacing w:before="120"/>
        <w:ind w:right="-2"/>
        <w:jc w:val="both"/>
        <w:rPr>
          <w:rFonts w:ascii="Verdana" w:hAnsi="Verdana"/>
          <w:sz w:val="18"/>
        </w:rPr>
      </w:pPr>
      <w:r>
        <w:rPr>
          <w:rFonts w:ascii="Verdana" w:hAnsi="Verdana"/>
          <w:sz w:val="18"/>
        </w:rPr>
        <w:t>Cette note se veut une explication de l’étude de prix et des hypothèses posées pour estimer un prix de Titane 10.2.3.</w:t>
      </w:r>
    </w:p>
    <w:p w:rsidR="00997154" w:rsidRDefault="00997154" w:rsidP="00997154">
      <w:pPr>
        <w:spacing w:before="120"/>
        <w:ind w:right="-2"/>
        <w:jc w:val="both"/>
        <w:rPr>
          <w:rFonts w:ascii="Verdana" w:hAnsi="Verdana"/>
          <w:sz w:val="18"/>
        </w:rPr>
      </w:pPr>
    </w:p>
    <w:p w:rsidR="00997154" w:rsidRPr="00601703" w:rsidRDefault="00997154" w:rsidP="00997154">
      <w:pPr>
        <w:spacing w:before="120"/>
        <w:ind w:right="-2"/>
        <w:jc w:val="both"/>
        <w:rPr>
          <w:rFonts w:ascii="Verdana" w:hAnsi="Verdana"/>
          <w:b/>
          <w:color w:val="FF0000"/>
          <w:sz w:val="18"/>
        </w:rPr>
      </w:pPr>
      <w:r w:rsidRPr="00601703">
        <w:rPr>
          <w:rFonts w:ascii="Verdana" w:hAnsi="Verdana"/>
          <w:b/>
          <w:color w:val="FF0000"/>
          <w:sz w:val="18"/>
        </w:rPr>
        <w:t>Compte tenu du délai court imparti pour cette étude et de la méconnaissance de l’élaboration de ce type d’alliage, il convient de rester plus que prudent sur les chiffres avancés et leurs utilisations.</w:t>
      </w:r>
    </w:p>
    <w:p w:rsidR="009D08F3" w:rsidRDefault="009D08F3" w:rsidP="00997154">
      <w:pPr>
        <w:spacing w:before="120"/>
        <w:ind w:right="8404"/>
        <w:jc w:val="both"/>
        <w:rPr>
          <w:rFonts w:ascii="Verdana" w:hAnsi="Verdana"/>
          <w:sz w:val="18"/>
        </w:rPr>
      </w:pPr>
    </w:p>
    <w:p w:rsidR="00997154" w:rsidRPr="00DE7E10" w:rsidRDefault="00DE7E10" w:rsidP="00DE7E10">
      <w:pPr>
        <w:spacing w:before="120"/>
        <w:ind w:right="-2"/>
        <w:jc w:val="both"/>
        <w:rPr>
          <w:rFonts w:ascii="Verdana" w:hAnsi="Verdana"/>
          <w:b/>
          <w:sz w:val="18"/>
          <w:u w:val="single"/>
        </w:rPr>
      </w:pPr>
      <w:r w:rsidRPr="00DE7E10">
        <w:rPr>
          <w:rFonts w:ascii="Verdana" w:hAnsi="Verdana"/>
          <w:b/>
          <w:sz w:val="18"/>
          <w:u w:val="single"/>
        </w:rPr>
        <w:t xml:space="preserve">1 – </w:t>
      </w:r>
      <w:r w:rsidR="008A0D45">
        <w:rPr>
          <w:rFonts w:ascii="Verdana" w:hAnsi="Verdana"/>
          <w:b/>
          <w:sz w:val="18"/>
          <w:u w:val="single"/>
        </w:rPr>
        <w:t>Gamme étudiée</w:t>
      </w:r>
    </w:p>
    <w:p w:rsidR="00DE7E10" w:rsidRDefault="00DE7E10" w:rsidP="00DE7E10">
      <w:pPr>
        <w:spacing w:before="120"/>
        <w:ind w:right="-2"/>
        <w:jc w:val="both"/>
        <w:rPr>
          <w:rFonts w:ascii="Verdana" w:hAnsi="Verdana"/>
          <w:sz w:val="18"/>
        </w:rPr>
      </w:pPr>
      <w:r>
        <w:rPr>
          <w:rFonts w:ascii="Verdana" w:hAnsi="Verdana"/>
          <w:sz w:val="18"/>
        </w:rPr>
        <w:t>La première hypothèse</w:t>
      </w:r>
      <w:r w:rsidR="00154FA4">
        <w:rPr>
          <w:rFonts w:ascii="Verdana" w:hAnsi="Verdana"/>
          <w:sz w:val="18"/>
        </w:rPr>
        <w:t xml:space="preserve"> forte</w:t>
      </w:r>
      <w:r>
        <w:rPr>
          <w:rFonts w:ascii="Verdana" w:hAnsi="Verdana"/>
          <w:sz w:val="18"/>
        </w:rPr>
        <w:t xml:space="preserve"> repose sur la réalisation d’une élaboration PAM suivi d’</w:t>
      </w:r>
      <w:r w:rsidR="00B24ABE">
        <w:rPr>
          <w:rFonts w:ascii="Verdana" w:hAnsi="Verdana"/>
          <w:sz w:val="18"/>
        </w:rPr>
        <w:t>une seule refusion VAR :</w:t>
      </w:r>
    </w:p>
    <w:p w:rsidR="00B24ABE" w:rsidRDefault="00B24ABE" w:rsidP="00DE7E10">
      <w:pPr>
        <w:spacing w:before="120"/>
        <w:ind w:right="-2"/>
        <w:jc w:val="both"/>
        <w:rPr>
          <w:rFonts w:ascii="Verdana" w:hAnsi="Verdana"/>
          <w:sz w:val="18"/>
        </w:rPr>
      </w:pPr>
    </w:p>
    <w:p w:rsidR="00B24ABE" w:rsidRDefault="00B24ABE" w:rsidP="00B24ABE">
      <w:pPr>
        <w:spacing w:before="120"/>
        <w:ind w:right="-2"/>
        <w:jc w:val="center"/>
        <w:rPr>
          <w:rFonts w:ascii="Verdana" w:hAnsi="Verdana"/>
          <w:sz w:val="18"/>
        </w:rPr>
      </w:pPr>
      <w:r>
        <w:rPr>
          <w:rFonts w:ascii="Verdana" w:hAnsi="Verdana"/>
          <w:sz w:val="18"/>
        </w:rPr>
        <w:t>Four PLASMA</w:t>
      </w:r>
      <w:r w:rsidR="008A0D45">
        <w:rPr>
          <w:rFonts w:ascii="Verdana" w:hAnsi="Verdana"/>
          <w:sz w:val="18"/>
        </w:rPr>
        <w:t> : fusion à 800 kg/h et réalisation d’</w:t>
      </w:r>
      <w:r>
        <w:rPr>
          <w:rFonts w:ascii="Verdana" w:hAnsi="Verdana"/>
          <w:sz w:val="18"/>
        </w:rPr>
        <w:t>électrode diamètre 740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Aucun usinage ou meulage avant refusion VAR</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 xml:space="preserve">Refusion VAR </w:t>
      </w:r>
      <w:r w:rsidR="008A0D45">
        <w:rPr>
          <w:rFonts w:ascii="Verdana" w:hAnsi="Verdana"/>
          <w:sz w:val="18"/>
        </w:rPr>
        <w:t xml:space="preserve">à 200 kg/h et réalisation d’un lingot </w:t>
      </w:r>
      <w:r>
        <w:rPr>
          <w:rFonts w:ascii="Verdana" w:hAnsi="Verdana"/>
          <w:sz w:val="18"/>
        </w:rPr>
        <w:t>diamètre 830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Rayonnage des angles et prélèvements d’éprouvettes.</w:t>
      </w:r>
      <w:r w:rsidR="008A0D45">
        <w:rPr>
          <w:rFonts w:ascii="Verdana" w:hAnsi="Verdana"/>
          <w:sz w:val="18"/>
        </w:rPr>
        <w:t xml:space="preserve"> Aucune autre préparation (meulage/usinage).</w:t>
      </w:r>
    </w:p>
    <w:p w:rsidR="00DE7E10" w:rsidRDefault="00DE7E10" w:rsidP="00DE7E10">
      <w:pPr>
        <w:spacing w:before="120"/>
        <w:ind w:right="-2"/>
        <w:jc w:val="both"/>
        <w:rPr>
          <w:rFonts w:ascii="Verdana" w:hAnsi="Verdana"/>
          <w:sz w:val="18"/>
        </w:rPr>
      </w:pPr>
    </w:p>
    <w:p w:rsidR="00B24ABE" w:rsidRDefault="00B24ABE" w:rsidP="00DE7E10">
      <w:pPr>
        <w:spacing w:before="120"/>
        <w:ind w:right="-2"/>
        <w:jc w:val="both"/>
        <w:rPr>
          <w:rFonts w:ascii="Verdana" w:hAnsi="Verdana"/>
          <w:sz w:val="18"/>
        </w:rPr>
      </w:pPr>
      <w:r>
        <w:rPr>
          <w:rFonts w:ascii="Verdana" w:hAnsi="Verdana"/>
          <w:sz w:val="18"/>
        </w:rPr>
        <w:t>Pour information : d’après Olivier DOUTRELIGNE, ALLVAC qui utilise un four PAM pour élaborer cette nuance, réalise 2 refusions VAR. ALLVAC essaie de ne faire qu’une refusion VAR</w:t>
      </w:r>
      <w:r w:rsidR="008A0D45">
        <w:rPr>
          <w:rFonts w:ascii="Verdana" w:hAnsi="Verdana"/>
          <w:sz w:val="18"/>
        </w:rPr>
        <w:t>.</w:t>
      </w:r>
      <w:r w:rsidR="00154FA4">
        <w:rPr>
          <w:rFonts w:ascii="Verdana" w:hAnsi="Verdana"/>
          <w:sz w:val="18"/>
        </w:rPr>
        <w:t xml:space="preserve"> A ce jour ALLVAC ne semble pas avoir réussi à valider une gamme avec une seule refusion !</w:t>
      </w:r>
      <w:r w:rsidR="00CE6E52">
        <w:rPr>
          <w:rFonts w:ascii="Verdana" w:hAnsi="Verdana"/>
          <w:sz w:val="18"/>
        </w:rPr>
        <w:t xml:space="preserve"> Cette gamme est donc très ambitieuse.</w:t>
      </w:r>
    </w:p>
    <w:p w:rsidR="008A0D45" w:rsidRDefault="008A0D45" w:rsidP="00DE7E10">
      <w:pPr>
        <w:spacing w:before="120"/>
        <w:ind w:right="-2"/>
        <w:jc w:val="both"/>
        <w:rPr>
          <w:rFonts w:ascii="Verdana" w:hAnsi="Verdana"/>
          <w:sz w:val="18"/>
        </w:rPr>
      </w:pPr>
    </w:p>
    <w:p w:rsidR="008A0D45" w:rsidRDefault="008A0D45" w:rsidP="00DE7E10">
      <w:pPr>
        <w:spacing w:before="120"/>
        <w:ind w:right="-2"/>
        <w:jc w:val="both"/>
        <w:rPr>
          <w:rFonts w:ascii="Verdana" w:hAnsi="Verdana"/>
          <w:sz w:val="18"/>
        </w:rPr>
      </w:pPr>
      <w:r>
        <w:rPr>
          <w:rFonts w:ascii="Verdana" w:hAnsi="Verdana"/>
          <w:sz w:val="18"/>
        </w:rPr>
        <w:t>Pour les vitesses de fusion, je me suis appuyer sur :</w:t>
      </w:r>
    </w:p>
    <w:p w:rsid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Pour la vitesse de fusion PAM, sur un compte rendu d’Anne-Pascale MOIROUX-LEMAIRE sur l’élaboration de Ti10.2.3 chez TIMET Morgantown.</w:t>
      </w:r>
    </w:p>
    <w:p w:rsidR="008A0D45" w:rsidRP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Un document d’Alec MITCHELL, pour la vitesse de refusion.</w:t>
      </w:r>
      <w:r w:rsidR="00154FA4">
        <w:rPr>
          <w:rFonts w:ascii="Verdana" w:hAnsi="Verdana"/>
          <w:sz w:val="18"/>
        </w:rPr>
        <w:t xml:space="preserve"> </w:t>
      </w:r>
      <w:r w:rsidR="00154FA4" w:rsidRPr="00AF4898">
        <w:rPr>
          <w:rFonts w:ascii="Verdana" w:hAnsi="Verdana"/>
          <w:sz w:val="18"/>
          <w:u w:val="single"/>
        </w:rPr>
        <w:t xml:space="preserve">Cette vitesse est 4 fois plus </w:t>
      </w:r>
      <w:r w:rsidR="00AF4898">
        <w:rPr>
          <w:rFonts w:ascii="Verdana" w:hAnsi="Verdana"/>
          <w:sz w:val="18"/>
          <w:u w:val="single"/>
        </w:rPr>
        <w:t>faible</w:t>
      </w:r>
      <w:r w:rsidR="00154FA4">
        <w:rPr>
          <w:rFonts w:ascii="Verdana" w:hAnsi="Verdana"/>
          <w:sz w:val="18"/>
        </w:rPr>
        <w:t xml:space="preserve"> que celle qu’utilise UKTMP sur le TA6V.</w:t>
      </w:r>
    </w:p>
    <w:p w:rsidR="00B24ABE" w:rsidRDefault="00B24ABE" w:rsidP="00DE7E10">
      <w:pPr>
        <w:spacing w:before="120"/>
        <w:ind w:right="-2"/>
        <w:jc w:val="both"/>
        <w:rPr>
          <w:rFonts w:ascii="Verdana" w:hAnsi="Verdana"/>
          <w:sz w:val="18"/>
        </w:rPr>
      </w:pPr>
    </w:p>
    <w:p w:rsidR="00154FA4" w:rsidRDefault="00154FA4" w:rsidP="00DE7E10">
      <w:pPr>
        <w:spacing w:before="120"/>
        <w:ind w:right="-2"/>
        <w:jc w:val="both"/>
        <w:rPr>
          <w:rFonts w:ascii="Verdana" w:hAnsi="Verdana"/>
          <w:sz w:val="18"/>
        </w:rPr>
      </w:pPr>
      <w:r>
        <w:rPr>
          <w:rFonts w:ascii="Verdana" w:hAnsi="Verdana"/>
          <w:sz w:val="18"/>
        </w:rPr>
        <w:t>Avant forgeage, ce type de nuance nécessite une homogénéisation (1280°C/40h) : pour le moment elle n’a pas été chiffrée.</w:t>
      </w:r>
    </w:p>
    <w:p w:rsidR="00154FA4" w:rsidRDefault="00154FA4" w:rsidP="00DE7E10">
      <w:pPr>
        <w:spacing w:before="120"/>
        <w:ind w:right="-2"/>
        <w:jc w:val="both"/>
        <w:rPr>
          <w:rFonts w:ascii="Verdana" w:hAnsi="Verdana"/>
          <w:sz w:val="18"/>
        </w:rPr>
      </w:pPr>
    </w:p>
    <w:p w:rsidR="00154FA4" w:rsidRPr="00154FA4" w:rsidRDefault="00154FA4" w:rsidP="00DE7E10">
      <w:pPr>
        <w:spacing w:before="120"/>
        <w:ind w:right="-2"/>
        <w:jc w:val="both"/>
        <w:rPr>
          <w:rFonts w:ascii="Verdana" w:hAnsi="Verdana"/>
          <w:b/>
          <w:sz w:val="18"/>
          <w:u w:val="single"/>
        </w:rPr>
      </w:pPr>
      <w:r w:rsidRPr="00154FA4">
        <w:rPr>
          <w:rFonts w:ascii="Verdana" w:hAnsi="Verdana"/>
          <w:b/>
          <w:sz w:val="18"/>
          <w:u w:val="single"/>
        </w:rPr>
        <w:t>2 – Tonnage potentiel sur EcoTitanium</w:t>
      </w:r>
    </w:p>
    <w:p w:rsidR="008A0D45" w:rsidRDefault="00154FA4" w:rsidP="00DE7E10">
      <w:pPr>
        <w:spacing w:before="120"/>
        <w:ind w:right="-2"/>
        <w:jc w:val="both"/>
        <w:rPr>
          <w:rFonts w:ascii="Verdana" w:hAnsi="Verdana"/>
          <w:sz w:val="18"/>
        </w:rPr>
      </w:pPr>
      <w:r>
        <w:rPr>
          <w:rFonts w:ascii="Verdana" w:hAnsi="Verdana"/>
          <w:sz w:val="18"/>
        </w:rPr>
        <w:t>Pour déterminer le tonnage de Ti 10.2.3 potentiellement réalisation sur l’installation EcoTitanium</w:t>
      </w:r>
      <w:r w:rsidR="007A64E6">
        <w:rPr>
          <w:rFonts w:ascii="Verdana" w:hAnsi="Verdana"/>
          <w:sz w:val="18"/>
        </w:rPr>
        <w:t xml:space="preserve"> (une fois le régime nominale atteint, soit en 2022)</w:t>
      </w:r>
      <w:r>
        <w:rPr>
          <w:rFonts w:ascii="Verdana" w:hAnsi="Verdana"/>
          <w:sz w:val="18"/>
        </w:rPr>
        <w:t>, nous sommes partis des éléments suivants :</w:t>
      </w:r>
    </w:p>
    <w:p w:rsidR="00154FA4" w:rsidRDefault="007A64E6" w:rsidP="007A64E6">
      <w:pPr>
        <w:pStyle w:val="Paragraphedeliste"/>
        <w:numPr>
          <w:ilvl w:val="0"/>
          <w:numId w:val="9"/>
        </w:numPr>
        <w:spacing w:before="120"/>
        <w:ind w:right="-2"/>
        <w:jc w:val="both"/>
        <w:rPr>
          <w:rFonts w:ascii="Verdana" w:hAnsi="Verdana"/>
          <w:sz w:val="18"/>
        </w:rPr>
      </w:pPr>
      <w:r>
        <w:rPr>
          <w:rFonts w:ascii="Verdana" w:hAnsi="Verdana"/>
          <w:sz w:val="18"/>
        </w:rPr>
        <w:lastRenderedPageBreak/>
        <w:t>Rester à la capacité nominale d’élaboration d’électrode du four PAM.</w:t>
      </w:r>
    </w:p>
    <w:p w:rsidR="007A64E6" w:rsidRDefault="007A64E6" w:rsidP="007A64E6">
      <w:pPr>
        <w:pStyle w:val="Paragraphedeliste"/>
        <w:numPr>
          <w:ilvl w:val="0"/>
          <w:numId w:val="9"/>
        </w:numPr>
        <w:spacing w:before="120"/>
        <w:ind w:right="-2"/>
        <w:jc w:val="both"/>
        <w:rPr>
          <w:rFonts w:ascii="Verdana" w:hAnsi="Verdana"/>
          <w:sz w:val="18"/>
        </w:rPr>
      </w:pPr>
      <w:r>
        <w:rPr>
          <w:rFonts w:ascii="Verdana" w:hAnsi="Verdana"/>
          <w:sz w:val="18"/>
        </w:rPr>
        <w:t>Rester dans la capacité maximale des 2 fours VAR, soit environ 5000 t.</w:t>
      </w:r>
    </w:p>
    <w:p w:rsidR="007A64E6" w:rsidRPr="007A64E6" w:rsidRDefault="007A64E6" w:rsidP="007A64E6">
      <w:pPr>
        <w:spacing w:before="120"/>
        <w:ind w:left="360"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Par ailleurs nous nous sommes mis dans l’hypothèse de fournir des lingots capables d’assurer la fabrication des tiges et balanciers de l’A350, donc dans l’idée de remplacer partiellement l’approvisionnement des lingots du contrat tripartite MESSIER-TIMET-AD.</w:t>
      </w:r>
    </w:p>
    <w:p w:rsidR="007A64E6" w:rsidRDefault="007A64E6"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Nous proposons donc la réalisation annuelle de 40 lingots (20 lingots pour les tiges, 20 pour les balanciers).</w:t>
      </w:r>
    </w:p>
    <w:p w:rsidR="007A64E6" w:rsidRDefault="000958EE" w:rsidP="007A64E6">
      <w:pPr>
        <w:spacing w:before="120"/>
        <w:ind w:right="-2"/>
        <w:jc w:val="both"/>
        <w:rPr>
          <w:rFonts w:ascii="Verdana" w:hAnsi="Verdana"/>
          <w:sz w:val="18"/>
        </w:rPr>
      </w:pPr>
      <w:r>
        <w:rPr>
          <w:rFonts w:ascii="Verdana" w:hAnsi="Verdana"/>
          <w:sz w:val="18"/>
        </w:rPr>
        <w:t>Rappelons qu’il est prévu d’approvisionner aux Ancizes 150 lingots de Ti 10.2.3 en 2015 (Info Daniel CLUZEL).</w:t>
      </w:r>
    </w:p>
    <w:p w:rsidR="000958EE" w:rsidRDefault="000958EE"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 xml:space="preserve">En résumé, la production d’EcoTitanium </w:t>
      </w:r>
      <w:r w:rsidRPr="00174ACA">
        <w:rPr>
          <w:rFonts w:ascii="Verdana" w:hAnsi="Verdana"/>
          <w:sz w:val="18"/>
          <w:u w:val="single"/>
        </w:rPr>
        <w:t>au-delà de 2022</w:t>
      </w:r>
      <w:r>
        <w:rPr>
          <w:rFonts w:ascii="Verdana" w:hAnsi="Verdana"/>
          <w:sz w:val="18"/>
        </w:rPr>
        <w:t> :</w:t>
      </w:r>
    </w:p>
    <w:p w:rsid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TA6V : 38</w:t>
      </w:r>
      <w:r w:rsidR="00D514FF">
        <w:rPr>
          <w:rFonts w:ascii="Verdana" w:hAnsi="Verdana"/>
          <w:sz w:val="18"/>
        </w:rPr>
        <w:t>5</w:t>
      </w:r>
      <w:r>
        <w:rPr>
          <w:rFonts w:ascii="Verdana" w:hAnsi="Verdana"/>
          <w:sz w:val="18"/>
        </w:rPr>
        <w:t>0 t livrées (avec l’hypothèse d’</w:t>
      </w:r>
      <w:r w:rsidR="000958EE">
        <w:rPr>
          <w:rFonts w:ascii="Verdana" w:hAnsi="Verdana"/>
          <w:sz w:val="18"/>
        </w:rPr>
        <w:t>un ratio</w:t>
      </w:r>
      <w:r>
        <w:rPr>
          <w:rFonts w:ascii="Verdana" w:hAnsi="Verdana"/>
          <w:sz w:val="18"/>
        </w:rPr>
        <w:t xml:space="preserve"> de 16% </w:t>
      </w:r>
      <w:r w:rsidR="000958EE">
        <w:rPr>
          <w:rFonts w:ascii="Verdana" w:hAnsi="Verdana"/>
          <w:sz w:val="18"/>
        </w:rPr>
        <w:t>de</w:t>
      </w:r>
      <w:r>
        <w:rPr>
          <w:rFonts w:ascii="Verdana" w:hAnsi="Verdana"/>
          <w:sz w:val="18"/>
        </w:rPr>
        <w:t xml:space="preserve"> pièces tournantes aéronautiques</w:t>
      </w:r>
      <w:r w:rsidR="000958EE">
        <w:rPr>
          <w:rFonts w:ascii="Verdana" w:hAnsi="Verdana"/>
          <w:sz w:val="18"/>
        </w:rPr>
        <w:t>, nécessitant un double refusion VAR après PAM</w:t>
      </w:r>
      <w:r>
        <w:rPr>
          <w:rFonts w:ascii="Verdana" w:hAnsi="Verdana"/>
          <w:sz w:val="18"/>
        </w:rPr>
        <w:t>)</w:t>
      </w:r>
      <w:r w:rsidR="000958EE">
        <w:rPr>
          <w:rFonts w:ascii="Verdana" w:hAnsi="Verdana"/>
          <w:sz w:val="18"/>
        </w:rPr>
        <w:t>.</w:t>
      </w:r>
    </w:p>
    <w:p w:rsidR="007A64E6" w:rsidRP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TI 10.2.3 : 188 t livrées</w:t>
      </w:r>
      <w:r w:rsidR="00D514FF">
        <w:rPr>
          <w:rFonts w:ascii="Verdana" w:hAnsi="Verdana"/>
          <w:sz w:val="18"/>
        </w:rPr>
        <w:t>.</w:t>
      </w:r>
    </w:p>
    <w:p w:rsidR="007A64E6" w:rsidRDefault="007A64E6" w:rsidP="007A64E6">
      <w:pPr>
        <w:spacing w:before="120"/>
        <w:ind w:right="-2"/>
        <w:jc w:val="both"/>
        <w:rPr>
          <w:rFonts w:ascii="Verdana" w:hAnsi="Verdana"/>
          <w:sz w:val="18"/>
        </w:rPr>
      </w:pPr>
    </w:p>
    <w:p w:rsidR="000320F9" w:rsidRPr="00601703" w:rsidRDefault="00601703" w:rsidP="007A64E6">
      <w:pPr>
        <w:spacing w:before="120"/>
        <w:ind w:right="-2"/>
        <w:jc w:val="both"/>
        <w:rPr>
          <w:rFonts w:ascii="Verdana" w:hAnsi="Verdana"/>
          <w:b/>
          <w:sz w:val="18"/>
          <w:u w:val="single"/>
        </w:rPr>
      </w:pPr>
      <w:r w:rsidRPr="00601703">
        <w:rPr>
          <w:rFonts w:ascii="Verdana" w:hAnsi="Verdana"/>
          <w:b/>
          <w:sz w:val="18"/>
          <w:u w:val="single"/>
        </w:rPr>
        <w:t>3 – Enfournement</w:t>
      </w:r>
    </w:p>
    <w:p w:rsidR="00601703" w:rsidRDefault="00601703" w:rsidP="007A64E6">
      <w:pPr>
        <w:spacing w:before="120"/>
        <w:ind w:right="-2"/>
        <w:jc w:val="both"/>
        <w:rPr>
          <w:rFonts w:ascii="Verdana" w:hAnsi="Verdana"/>
          <w:sz w:val="18"/>
        </w:rPr>
      </w:pPr>
    </w:p>
    <w:p w:rsidR="00601703" w:rsidRPr="00601703" w:rsidRDefault="00601703" w:rsidP="007A64E6">
      <w:pPr>
        <w:spacing w:before="120"/>
        <w:ind w:right="-2"/>
        <w:jc w:val="both"/>
        <w:rPr>
          <w:rFonts w:ascii="Verdana" w:hAnsi="Verdana"/>
          <w:sz w:val="18"/>
          <w:u w:val="single"/>
        </w:rPr>
      </w:pPr>
      <w:r w:rsidRPr="00601703">
        <w:rPr>
          <w:rFonts w:ascii="Verdana" w:hAnsi="Verdana"/>
          <w:sz w:val="18"/>
          <w:u w:val="single"/>
        </w:rPr>
        <w:t>3 – 1 – Chutes produites par les Ancizes</w:t>
      </w:r>
    </w:p>
    <w:p w:rsidR="00601703" w:rsidRDefault="00601703" w:rsidP="007A64E6">
      <w:pPr>
        <w:spacing w:before="120"/>
        <w:ind w:right="-2"/>
        <w:jc w:val="both"/>
        <w:rPr>
          <w:rFonts w:ascii="Verdana" w:hAnsi="Verdana"/>
          <w:sz w:val="18"/>
        </w:rPr>
      </w:pPr>
      <w:r>
        <w:rPr>
          <w:rFonts w:ascii="Verdana" w:hAnsi="Verdana"/>
          <w:sz w:val="18"/>
        </w:rPr>
        <w:t xml:space="preserve">Nous sommes parti de l’hypothèse de garder le même ratio de retour de chutes Ancizes que celui du contrat MESSIER-TIMET-AD, à savoir 35% du poids des lingots livrés </w:t>
      </w:r>
      <w:r w:rsidR="008D056A">
        <w:rPr>
          <w:rFonts w:ascii="Verdana" w:hAnsi="Verdana"/>
          <w:sz w:val="18"/>
        </w:rPr>
        <w:t>(avant traitement des chutes).</w:t>
      </w:r>
    </w:p>
    <w:p w:rsidR="008D056A" w:rsidRDefault="008D056A" w:rsidP="007A64E6">
      <w:pPr>
        <w:spacing w:before="120"/>
        <w:ind w:right="-2"/>
        <w:jc w:val="both"/>
        <w:rPr>
          <w:rFonts w:ascii="Verdana" w:hAnsi="Verdana"/>
          <w:sz w:val="18"/>
        </w:rPr>
      </w:pPr>
      <w:r>
        <w:rPr>
          <w:rFonts w:ascii="Verdana" w:hAnsi="Verdana"/>
          <w:sz w:val="18"/>
        </w:rPr>
        <w:t>Nous avons aussi gardé le ratio entre chutes massives et copeaux réalisé actuellement aux Ancizes sur ce contrat, à savoir :</w:t>
      </w:r>
    </w:p>
    <w:p w:rsid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25% de massifs,</w:t>
      </w:r>
    </w:p>
    <w:p w:rsidR="008D056A" w:rsidRP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75% de copeaux.</w:t>
      </w:r>
    </w:p>
    <w:p w:rsidR="00D514FF" w:rsidRDefault="00D514FF" w:rsidP="007A64E6">
      <w:pPr>
        <w:spacing w:before="120"/>
        <w:ind w:right="-2"/>
        <w:jc w:val="both"/>
        <w:rPr>
          <w:rFonts w:ascii="Verdana" w:hAnsi="Verdana"/>
          <w:sz w:val="18"/>
        </w:rPr>
      </w:pPr>
    </w:p>
    <w:p w:rsidR="001F2DF8" w:rsidRPr="001F2DF8" w:rsidRDefault="001F2DF8" w:rsidP="007A64E6">
      <w:pPr>
        <w:spacing w:before="120"/>
        <w:ind w:right="-2"/>
        <w:jc w:val="both"/>
        <w:rPr>
          <w:rFonts w:ascii="Verdana" w:hAnsi="Verdana"/>
          <w:sz w:val="18"/>
          <w:u w:val="single"/>
        </w:rPr>
      </w:pPr>
      <w:r w:rsidRPr="001F2DF8">
        <w:rPr>
          <w:rFonts w:ascii="Verdana" w:hAnsi="Verdana"/>
          <w:sz w:val="18"/>
          <w:u w:val="single"/>
        </w:rPr>
        <w:t>3 – 2 – Chutes produites chez MESSIER</w:t>
      </w:r>
    </w:p>
    <w:p w:rsidR="001F2DF8" w:rsidRDefault="001F2DF8" w:rsidP="007A64E6">
      <w:pPr>
        <w:spacing w:before="120"/>
        <w:ind w:right="-2"/>
        <w:jc w:val="both"/>
        <w:rPr>
          <w:rFonts w:ascii="Verdana" w:hAnsi="Verdana"/>
          <w:sz w:val="18"/>
        </w:rPr>
      </w:pPr>
      <w:r>
        <w:rPr>
          <w:rFonts w:ascii="Verdana" w:hAnsi="Verdana"/>
          <w:sz w:val="18"/>
        </w:rPr>
        <w:t xml:space="preserve">Actuellement, 49% du poids des pièces que nous livrons chez MESSIER partent en chutes, </w:t>
      </w:r>
      <w:r w:rsidRPr="00C2741E">
        <w:rPr>
          <w:rFonts w:ascii="Verdana" w:hAnsi="Verdana"/>
          <w:sz w:val="18"/>
          <w:u w:val="single"/>
        </w:rPr>
        <w:t>que nous supposerons être des copeaux</w:t>
      </w:r>
      <w:r>
        <w:rPr>
          <w:rFonts w:ascii="Verdana" w:hAnsi="Verdana"/>
          <w:sz w:val="18"/>
        </w:rPr>
        <w:t>.</w:t>
      </w:r>
    </w:p>
    <w:p w:rsidR="001F2DF8" w:rsidRDefault="001F2DF8" w:rsidP="007A64E6">
      <w:pPr>
        <w:spacing w:before="120"/>
        <w:ind w:right="-2"/>
        <w:jc w:val="both"/>
        <w:rPr>
          <w:rFonts w:ascii="Verdana" w:hAnsi="Verdana"/>
          <w:sz w:val="18"/>
        </w:rPr>
      </w:pPr>
      <w:r>
        <w:rPr>
          <w:rFonts w:ascii="Verdana" w:hAnsi="Verdana"/>
          <w:sz w:val="18"/>
        </w:rPr>
        <w:t xml:space="preserve">Par mesure de précaution, nous considérons que seulement </w:t>
      </w:r>
      <w:r w:rsidRPr="00C2741E">
        <w:rPr>
          <w:rFonts w:ascii="Verdana" w:hAnsi="Verdana"/>
          <w:b/>
          <w:sz w:val="18"/>
        </w:rPr>
        <w:t>70%</w:t>
      </w:r>
      <w:r>
        <w:rPr>
          <w:rFonts w:ascii="Verdana" w:hAnsi="Verdana"/>
          <w:sz w:val="18"/>
        </w:rPr>
        <w:t xml:space="preserve"> de ces copeaux ne sont recyclables (élimination des copeaux trop fins, copeaux pollués car non réalisés sur des machines </w:t>
      </w:r>
      <w:r w:rsidR="00C2741E">
        <w:rPr>
          <w:rFonts w:ascii="Verdana" w:hAnsi="Verdana"/>
          <w:sz w:val="18"/>
        </w:rPr>
        <w:t>dédiées</w:t>
      </w:r>
      <w:r>
        <w:rPr>
          <w:rFonts w:ascii="Verdana" w:hAnsi="Verdana"/>
          <w:sz w:val="18"/>
        </w:rPr>
        <w:t>…)</w:t>
      </w:r>
    </w:p>
    <w:p w:rsidR="00D514FF" w:rsidRDefault="00D514FF" w:rsidP="007A64E6">
      <w:pPr>
        <w:spacing w:before="120"/>
        <w:ind w:right="-2"/>
        <w:jc w:val="both"/>
        <w:rPr>
          <w:rFonts w:ascii="Verdana" w:hAnsi="Verdana"/>
          <w:sz w:val="18"/>
        </w:rPr>
      </w:pPr>
    </w:p>
    <w:p w:rsidR="007A64E6" w:rsidRPr="00C2741E" w:rsidRDefault="00C2741E" w:rsidP="007A64E6">
      <w:pPr>
        <w:spacing w:before="120"/>
        <w:ind w:right="-2"/>
        <w:jc w:val="both"/>
        <w:rPr>
          <w:rFonts w:ascii="Verdana" w:hAnsi="Verdana"/>
          <w:sz w:val="18"/>
          <w:u w:val="single"/>
        </w:rPr>
      </w:pPr>
      <w:r w:rsidRPr="00C2741E">
        <w:rPr>
          <w:rFonts w:ascii="Verdana" w:hAnsi="Verdana"/>
          <w:sz w:val="18"/>
          <w:u w:val="single"/>
        </w:rPr>
        <w:t>3 – 3 – Chutes du marché libre</w:t>
      </w:r>
    </w:p>
    <w:p w:rsidR="00C2741E" w:rsidRDefault="00C2741E" w:rsidP="007A64E6">
      <w:pPr>
        <w:spacing w:before="120"/>
        <w:ind w:right="-2"/>
        <w:jc w:val="both"/>
        <w:rPr>
          <w:rFonts w:ascii="Verdana" w:hAnsi="Verdana"/>
          <w:sz w:val="18"/>
        </w:rPr>
      </w:pPr>
      <w:r>
        <w:rPr>
          <w:rFonts w:ascii="Verdana" w:hAnsi="Verdana"/>
          <w:sz w:val="18"/>
        </w:rPr>
        <w:t>Nous considérons que nous serons en mesure de trouver toutes les chutes complémentaires nécessaires sur le marché libre.</w:t>
      </w:r>
    </w:p>
    <w:p w:rsidR="00C2741E" w:rsidRDefault="00C2741E" w:rsidP="007A64E6">
      <w:pPr>
        <w:spacing w:before="120"/>
        <w:ind w:right="-2"/>
        <w:jc w:val="both"/>
        <w:rPr>
          <w:rFonts w:ascii="Verdana" w:hAnsi="Verdana"/>
          <w:sz w:val="18"/>
        </w:rPr>
      </w:pPr>
      <w:r>
        <w:rPr>
          <w:rFonts w:ascii="Verdana" w:hAnsi="Verdana"/>
          <w:sz w:val="18"/>
        </w:rPr>
        <w:t>Nous faisons l’hypothèse que ces chutes proviennent des USA (Information d’Olivier DOUTRELIGNE).</w:t>
      </w:r>
    </w:p>
    <w:p w:rsidR="00C2741E" w:rsidRDefault="00C2741E" w:rsidP="007A64E6">
      <w:pPr>
        <w:spacing w:before="120"/>
        <w:ind w:right="-2"/>
        <w:jc w:val="both"/>
        <w:rPr>
          <w:rFonts w:ascii="Verdana" w:hAnsi="Verdana"/>
          <w:sz w:val="18"/>
        </w:rPr>
      </w:pPr>
    </w:p>
    <w:p w:rsidR="001651C7" w:rsidRPr="001651C7" w:rsidRDefault="001651C7" w:rsidP="007A64E6">
      <w:pPr>
        <w:spacing w:before="120"/>
        <w:ind w:right="-2"/>
        <w:jc w:val="both"/>
        <w:rPr>
          <w:rFonts w:ascii="Verdana" w:hAnsi="Verdana"/>
          <w:sz w:val="18"/>
          <w:u w:val="single"/>
        </w:rPr>
      </w:pPr>
      <w:r w:rsidRPr="001651C7">
        <w:rPr>
          <w:rFonts w:ascii="Verdana" w:hAnsi="Verdana"/>
          <w:sz w:val="18"/>
          <w:u w:val="single"/>
        </w:rPr>
        <w:t>3 – 4 – Eponges et Masteralloy</w:t>
      </w:r>
    </w:p>
    <w:p w:rsidR="001651C7" w:rsidRDefault="001651C7" w:rsidP="007A64E6">
      <w:pPr>
        <w:spacing w:before="120"/>
        <w:ind w:right="-2"/>
        <w:jc w:val="both"/>
        <w:rPr>
          <w:rFonts w:ascii="Verdana" w:hAnsi="Verdana"/>
          <w:sz w:val="18"/>
        </w:rPr>
      </w:pPr>
      <w:r>
        <w:rPr>
          <w:rFonts w:ascii="Verdana" w:hAnsi="Verdana"/>
          <w:sz w:val="18"/>
        </w:rPr>
        <w:t>Compte tenu du niveau d’oxygène relativement bas de cet alliage (0 &lt; 0,13% demandé dans la norme MESSIER, mais TIMET tient plutôt O&lt;0,12%), nous sommes parti d’un taux d’éponges en charge de 25%.</w:t>
      </w:r>
    </w:p>
    <w:p w:rsidR="001651C7" w:rsidRDefault="001651C7" w:rsidP="007A64E6">
      <w:pPr>
        <w:spacing w:before="120"/>
        <w:ind w:right="-2"/>
        <w:jc w:val="both"/>
        <w:rPr>
          <w:rFonts w:ascii="Verdana" w:hAnsi="Verdana"/>
          <w:sz w:val="18"/>
        </w:rPr>
      </w:pPr>
      <w:r>
        <w:rPr>
          <w:rFonts w:ascii="Verdana" w:hAnsi="Verdana"/>
          <w:sz w:val="18"/>
        </w:rPr>
        <w:t xml:space="preserve">Nous sommes ici aux limites que nous a données Alec MITCHELL lors de sa dernière venue aux Ancizes le 17 septembre 2013. Alec MITCHELL estime que pour un four plasma le % d’éponges est limité à 20 à </w:t>
      </w:r>
      <w:r w:rsidR="00490ED1">
        <w:rPr>
          <w:rFonts w:ascii="Verdana" w:hAnsi="Verdana"/>
          <w:sz w:val="18"/>
        </w:rPr>
        <w:t>30</w:t>
      </w:r>
      <w:r>
        <w:rPr>
          <w:rFonts w:ascii="Verdana" w:hAnsi="Verdana"/>
          <w:sz w:val="18"/>
        </w:rPr>
        <w:t>% pour 2 raisons :</w:t>
      </w:r>
    </w:p>
    <w:p w:rsidR="001651C7" w:rsidRDefault="001651C7" w:rsidP="001651C7">
      <w:pPr>
        <w:pStyle w:val="Paragraphedeliste"/>
        <w:numPr>
          <w:ilvl w:val="0"/>
          <w:numId w:val="12"/>
        </w:numPr>
        <w:spacing w:before="120"/>
        <w:ind w:right="-2"/>
        <w:jc w:val="both"/>
        <w:rPr>
          <w:rFonts w:ascii="Verdana" w:hAnsi="Verdana"/>
          <w:sz w:val="18"/>
        </w:rPr>
      </w:pPr>
      <w:r>
        <w:rPr>
          <w:rFonts w:ascii="Verdana" w:hAnsi="Verdana"/>
          <w:sz w:val="18"/>
        </w:rPr>
        <w:t>Les éponges contenant du chlorure de magnésium, il y a un risque de saturation de l’unité de recyclage hélium sur le chlore.</w:t>
      </w:r>
    </w:p>
    <w:p w:rsidR="00C2741E" w:rsidRPr="001651C7" w:rsidRDefault="001651C7" w:rsidP="007A64E6">
      <w:pPr>
        <w:pStyle w:val="Paragraphedeliste"/>
        <w:numPr>
          <w:ilvl w:val="0"/>
          <w:numId w:val="12"/>
        </w:numPr>
        <w:spacing w:before="120"/>
        <w:ind w:right="-2"/>
        <w:jc w:val="both"/>
        <w:rPr>
          <w:rFonts w:ascii="Verdana" w:hAnsi="Verdana"/>
          <w:sz w:val="18"/>
        </w:rPr>
      </w:pPr>
      <w:r>
        <w:rPr>
          <w:rFonts w:ascii="Verdana" w:hAnsi="Verdana"/>
          <w:sz w:val="18"/>
        </w:rPr>
        <w:t>Les éponges contenant des poussières, au-delà d’un certain seuil, les poussières générées lors de la fusion suppriment la visibilité et donc le pilotage des torches au travers des caméras.</w:t>
      </w:r>
    </w:p>
    <w:p w:rsidR="00C2741E" w:rsidRDefault="00C2741E" w:rsidP="007A64E6">
      <w:pPr>
        <w:spacing w:before="120"/>
        <w:ind w:right="-2"/>
        <w:jc w:val="both"/>
        <w:rPr>
          <w:rFonts w:ascii="Verdana" w:hAnsi="Verdana"/>
          <w:sz w:val="18"/>
        </w:rPr>
      </w:pPr>
    </w:p>
    <w:p w:rsidR="001651C7" w:rsidRDefault="008D09C4" w:rsidP="007A64E6">
      <w:pPr>
        <w:spacing w:before="120"/>
        <w:ind w:right="-2"/>
        <w:jc w:val="both"/>
        <w:rPr>
          <w:rFonts w:ascii="Verdana" w:hAnsi="Verdana"/>
          <w:sz w:val="18"/>
        </w:rPr>
      </w:pPr>
      <w:r>
        <w:rPr>
          <w:rFonts w:ascii="Verdana" w:hAnsi="Verdana"/>
          <w:sz w:val="18"/>
        </w:rPr>
        <w:t>Une première approche sommaire d’un calcul d’enfournement montre :</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disposer de chutes le plus « parfaitement » nettoyées pour limiter l’apport en Carbone et Oxygène. Nous reviendrons </w:t>
      </w:r>
      <w:r w:rsidR="00334496">
        <w:rPr>
          <w:rFonts w:ascii="Verdana" w:hAnsi="Verdana"/>
          <w:sz w:val="18"/>
        </w:rPr>
        <w:t xml:space="preserve">dans le paragraphe suivant </w:t>
      </w:r>
      <w:r>
        <w:rPr>
          <w:rFonts w:ascii="Verdana" w:hAnsi="Verdana"/>
          <w:sz w:val="18"/>
        </w:rPr>
        <w:t>sur ce point.</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bien environ 25% d’éponges si on considère que la teneur en oxygène sur les chutes et </w:t>
      </w:r>
      <w:r w:rsidR="009D38D9">
        <w:rPr>
          <w:rFonts w:ascii="Verdana" w:hAnsi="Verdana"/>
          <w:sz w:val="18"/>
        </w:rPr>
        <w:t xml:space="preserve">légèrement </w:t>
      </w:r>
      <w:r>
        <w:rPr>
          <w:rFonts w:ascii="Verdana" w:hAnsi="Verdana"/>
          <w:sz w:val="18"/>
        </w:rPr>
        <w:t>supérieure à la composition de la nuance</w:t>
      </w:r>
      <w:r w:rsidR="009D38D9">
        <w:rPr>
          <w:rFonts w:ascii="Verdana" w:hAnsi="Verdana"/>
          <w:sz w:val="18"/>
        </w:rPr>
        <w:t xml:space="preserve"> (nous estimons qu’un traitement de chutes ne supprime pas totalement l’oxygène, sauf peut-être des attaques acides…).</w:t>
      </w:r>
    </w:p>
    <w:p w:rsidR="009D38D9" w:rsidRDefault="009D38D9" w:rsidP="009D38D9">
      <w:pPr>
        <w:spacing w:before="120"/>
        <w:ind w:right="-2"/>
        <w:jc w:val="both"/>
        <w:rPr>
          <w:rFonts w:ascii="Verdana" w:hAnsi="Verdana"/>
          <w:sz w:val="18"/>
        </w:rPr>
      </w:pPr>
    </w:p>
    <w:p w:rsidR="009D38D9" w:rsidRDefault="009D38D9" w:rsidP="009D38D9">
      <w:pPr>
        <w:spacing w:before="120"/>
        <w:ind w:right="-2"/>
        <w:jc w:val="both"/>
        <w:rPr>
          <w:rFonts w:ascii="Verdana" w:hAnsi="Verdana"/>
          <w:sz w:val="18"/>
        </w:rPr>
      </w:pPr>
      <w:r>
        <w:rPr>
          <w:rFonts w:ascii="Verdana" w:hAnsi="Verdana"/>
          <w:sz w:val="18"/>
        </w:rPr>
        <w:t xml:space="preserve">En complément à ces éponges, nous ajoutons un masteralloy 69%VA – 19% Al – 12% Fe  (producteur </w:t>
      </w:r>
      <w:proofErr w:type="spellStart"/>
      <w:r>
        <w:rPr>
          <w:rFonts w:ascii="Verdana" w:hAnsi="Verdana"/>
          <w:sz w:val="18"/>
        </w:rPr>
        <w:t>GFe</w:t>
      </w:r>
      <w:proofErr w:type="spellEnd"/>
      <w:r>
        <w:rPr>
          <w:rFonts w:ascii="Verdana" w:hAnsi="Verdana"/>
          <w:sz w:val="18"/>
        </w:rPr>
        <w:t>) qui permet d’avoir la composition du Ti 10.2.3 en ajoutant 85% d’éponges et 15% de ce masteralloy.</w:t>
      </w:r>
    </w:p>
    <w:p w:rsidR="009D38D9" w:rsidRDefault="009D38D9" w:rsidP="009D38D9">
      <w:pPr>
        <w:spacing w:before="120"/>
        <w:ind w:right="-2"/>
        <w:jc w:val="both"/>
        <w:rPr>
          <w:rFonts w:ascii="Verdana" w:hAnsi="Verdana"/>
          <w:sz w:val="18"/>
        </w:rPr>
      </w:pPr>
    </w:p>
    <w:p w:rsidR="00AF4898" w:rsidRDefault="00AF4898" w:rsidP="009D38D9">
      <w:pPr>
        <w:spacing w:before="120"/>
        <w:ind w:right="-2"/>
        <w:jc w:val="both"/>
        <w:rPr>
          <w:rFonts w:ascii="Verdana" w:hAnsi="Verdana"/>
          <w:sz w:val="18"/>
        </w:rPr>
      </w:pPr>
      <w:r>
        <w:rPr>
          <w:rFonts w:ascii="Verdana" w:hAnsi="Verdana"/>
          <w:sz w:val="18"/>
        </w:rPr>
        <w:t>En résumé l’enfournement total pour livrer les 40 lingots est le suivant :</w:t>
      </w:r>
    </w:p>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2518"/>
        <w:gridCol w:w="2410"/>
        <w:gridCol w:w="2551"/>
        <w:gridCol w:w="2835"/>
      </w:tblGrid>
      <w:tr w:rsidR="00AF4898" w:rsidTr="00AF4898">
        <w:tc>
          <w:tcPr>
            <w:tcW w:w="2518" w:type="dxa"/>
            <w:shd w:val="clear" w:color="auto" w:fill="92D050"/>
          </w:tcPr>
          <w:p w:rsidR="00AF4898" w:rsidRPr="00AF4898" w:rsidRDefault="00AF4898" w:rsidP="009D38D9">
            <w:pPr>
              <w:spacing w:before="120"/>
              <w:ind w:right="-2"/>
              <w:jc w:val="both"/>
              <w:rPr>
                <w:rFonts w:ascii="Verdana" w:hAnsi="Verdana"/>
                <w:b/>
                <w:sz w:val="18"/>
              </w:rPr>
            </w:pPr>
            <w:r w:rsidRPr="00AF4898">
              <w:rPr>
                <w:rFonts w:ascii="Verdana" w:hAnsi="Verdana"/>
                <w:b/>
                <w:sz w:val="18"/>
              </w:rPr>
              <w:t>Chutes</w:t>
            </w:r>
          </w:p>
        </w:tc>
        <w:tc>
          <w:tcPr>
            <w:tcW w:w="2410"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AD</w:t>
            </w:r>
          </w:p>
        </w:tc>
        <w:tc>
          <w:tcPr>
            <w:tcW w:w="2551"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MESSIER</w:t>
            </w:r>
          </w:p>
        </w:tc>
        <w:tc>
          <w:tcPr>
            <w:tcW w:w="2835"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Marché libre</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Massifs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13,2</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0,0</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19,6</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Copeaux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37,0</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13,5</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58,8</w:t>
            </w:r>
          </w:p>
        </w:tc>
      </w:tr>
    </w:tbl>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AF4898" w:rsidTr="00AF4898">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Eponges (t)</w:t>
            </w:r>
          </w:p>
        </w:tc>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Masteralloy (t)</w:t>
            </w:r>
          </w:p>
        </w:tc>
      </w:tr>
      <w:tr w:rsidR="00AF4898" w:rsidTr="00AF4898">
        <w:tc>
          <w:tcPr>
            <w:tcW w:w="5172" w:type="dxa"/>
          </w:tcPr>
          <w:p w:rsidR="00AF4898" w:rsidRDefault="00AF4898" w:rsidP="00AF4898">
            <w:pPr>
              <w:spacing w:before="120"/>
              <w:ind w:right="-2"/>
              <w:jc w:val="center"/>
              <w:rPr>
                <w:rFonts w:ascii="Verdana" w:hAnsi="Verdana"/>
                <w:sz w:val="18"/>
              </w:rPr>
            </w:pPr>
            <w:r>
              <w:rPr>
                <w:rFonts w:ascii="Verdana" w:hAnsi="Verdana"/>
                <w:sz w:val="18"/>
              </w:rPr>
              <w:t>51,8</w:t>
            </w:r>
          </w:p>
        </w:tc>
        <w:tc>
          <w:tcPr>
            <w:tcW w:w="5172" w:type="dxa"/>
          </w:tcPr>
          <w:p w:rsidR="00AF4898" w:rsidRDefault="00AF4898" w:rsidP="00AF4898">
            <w:pPr>
              <w:spacing w:before="120"/>
              <w:ind w:right="-2"/>
              <w:jc w:val="center"/>
              <w:rPr>
                <w:rFonts w:ascii="Verdana" w:hAnsi="Verdana"/>
                <w:sz w:val="18"/>
              </w:rPr>
            </w:pPr>
            <w:r>
              <w:rPr>
                <w:rFonts w:ascii="Verdana" w:hAnsi="Verdana"/>
                <w:sz w:val="18"/>
              </w:rPr>
              <w:t>9,1</w:t>
            </w:r>
          </w:p>
        </w:tc>
      </w:tr>
    </w:tbl>
    <w:p w:rsidR="00AF4898" w:rsidRDefault="00AF4898" w:rsidP="009D38D9">
      <w:pPr>
        <w:spacing w:before="120"/>
        <w:ind w:right="-2"/>
        <w:jc w:val="both"/>
        <w:rPr>
          <w:rFonts w:ascii="Verdana" w:hAnsi="Verdana"/>
          <w:sz w:val="18"/>
        </w:rPr>
      </w:pPr>
    </w:p>
    <w:p w:rsidR="00031B51" w:rsidRPr="00031B51" w:rsidRDefault="00031B51" w:rsidP="009D38D9">
      <w:pPr>
        <w:spacing w:before="120"/>
        <w:ind w:right="-2"/>
        <w:jc w:val="both"/>
        <w:rPr>
          <w:rFonts w:ascii="Verdana" w:hAnsi="Verdana"/>
          <w:b/>
          <w:sz w:val="18"/>
          <w:u w:val="single"/>
        </w:rPr>
      </w:pPr>
      <w:r w:rsidRPr="00031B51">
        <w:rPr>
          <w:rFonts w:ascii="Verdana" w:hAnsi="Verdana"/>
          <w:b/>
          <w:sz w:val="18"/>
          <w:u w:val="single"/>
        </w:rPr>
        <w:t>4 – Traitement des chutes</w:t>
      </w:r>
    </w:p>
    <w:p w:rsidR="00031B51" w:rsidRDefault="00031B51" w:rsidP="009D38D9">
      <w:pPr>
        <w:spacing w:before="120"/>
        <w:ind w:right="-2"/>
        <w:jc w:val="both"/>
        <w:rPr>
          <w:rFonts w:ascii="Verdana" w:hAnsi="Verdana"/>
          <w:sz w:val="18"/>
        </w:rPr>
      </w:pPr>
      <w:r>
        <w:rPr>
          <w:rFonts w:ascii="Verdana" w:hAnsi="Verdana"/>
          <w:sz w:val="18"/>
        </w:rPr>
        <w:t>Nous n’avons pas d’informations précises, à ce jour, sur une spécificité de traitement des chutes massives et copeaux de Ti 10.2.3.</w:t>
      </w:r>
    </w:p>
    <w:p w:rsidR="00031B51" w:rsidRDefault="00982DDB" w:rsidP="009D38D9">
      <w:pPr>
        <w:spacing w:before="120"/>
        <w:ind w:right="-2"/>
        <w:jc w:val="both"/>
        <w:rPr>
          <w:rFonts w:ascii="Verdana" w:hAnsi="Verdana"/>
          <w:sz w:val="18"/>
        </w:rPr>
      </w:pPr>
      <w:r>
        <w:rPr>
          <w:rFonts w:ascii="Verdana" w:hAnsi="Verdana"/>
          <w:sz w:val="18"/>
        </w:rPr>
        <w:t>En lisant certains compte rendu sur la mise au point de cette nuance chez TIMET, il semble que TIMET ait rencontré les difficultés suivantes lors d’élaboration sur leurs fours EB :</w:t>
      </w:r>
    </w:p>
    <w:p w:rsid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 xml:space="preserve">Pollution en oxygène sur des coulées réalisées à partir de chutes massives. Sur la base de cette information, nous avons décidé de </w:t>
      </w:r>
      <w:r w:rsidRPr="00982DDB">
        <w:rPr>
          <w:rFonts w:ascii="Verdana" w:hAnsi="Verdana"/>
          <w:sz w:val="18"/>
          <w:u w:val="single"/>
        </w:rPr>
        <w:t>baisser le rendement du traitement des chutes massives de 90% à 8</w:t>
      </w:r>
      <w:r>
        <w:rPr>
          <w:rFonts w:ascii="Verdana" w:hAnsi="Verdana"/>
          <w:sz w:val="18"/>
          <w:u w:val="single"/>
        </w:rPr>
        <w:t>0</w:t>
      </w:r>
      <w:r w:rsidRPr="00982DDB">
        <w:rPr>
          <w:rFonts w:ascii="Verdana" w:hAnsi="Verdana"/>
          <w:sz w:val="18"/>
          <w:u w:val="single"/>
        </w:rPr>
        <w:t>%</w:t>
      </w:r>
      <w:r>
        <w:rPr>
          <w:rFonts w:ascii="Verdana" w:hAnsi="Verdana"/>
          <w:sz w:val="18"/>
        </w:rPr>
        <w:t>.</w:t>
      </w:r>
    </w:p>
    <w:p w:rsidR="00982DDB" w:rsidRP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Pollution en carbone sur des coulées réalisées avec des copeaux. Cette information nous laisse à penser que le traitement de dégraissage des copeaux doit être très poussé</w:t>
      </w:r>
      <w:r w:rsidR="00334496">
        <w:rPr>
          <w:rFonts w:ascii="Verdana" w:hAnsi="Verdana"/>
          <w:sz w:val="18"/>
        </w:rPr>
        <w:t xml:space="preserve">. </w:t>
      </w:r>
    </w:p>
    <w:p w:rsidR="00031B51" w:rsidRDefault="00031B51"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t>Dans les</w:t>
      </w:r>
      <w:r w:rsidR="00334496">
        <w:rPr>
          <w:rFonts w:ascii="Verdana" w:hAnsi="Verdana"/>
          <w:sz w:val="18"/>
        </w:rPr>
        <w:t xml:space="preserve"> gammes déposées TIMET en Ti 10.2.3, </w:t>
      </w:r>
      <w:r>
        <w:rPr>
          <w:rFonts w:ascii="Verdana" w:hAnsi="Verdana"/>
          <w:sz w:val="18"/>
        </w:rPr>
        <w:t xml:space="preserve">les copeaux sont systématiquement passés sur une ligne de contrôle au RX </w:t>
      </w:r>
      <w:r w:rsidRPr="00EA44B1">
        <w:rPr>
          <w:rFonts w:ascii="Verdana" w:hAnsi="Verdana"/>
          <w:sz w:val="18"/>
        </w:rPr>
        <w:sym w:font="Wingdings" w:char="F0E8"/>
      </w:r>
      <w:r>
        <w:rPr>
          <w:rFonts w:ascii="Verdana" w:hAnsi="Verdana"/>
          <w:sz w:val="18"/>
        </w:rPr>
        <w:t xml:space="preserve"> cette information explique aussi pourquoi nous avons augmenté le co</w:t>
      </w:r>
      <w:r w:rsidR="000D7334">
        <w:rPr>
          <w:rFonts w:ascii="Verdana" w:hAnsi="Verdana"/>
          <w:sz w:val="18"/>
        </w:rPr>
        <w:t>ût du traitement des copeaux.</w:t>
      </w:r>
    </w:p>
    <w:p w:rsidR="004E091C" w:rsidRDefault="004E091C" w:rsidP="009D38D9">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0D7334" w:rsidTr="000D7334">
        <w:trPr>
          <w:jc w:val="center"/>
        </w:trPr>
        <w:tc>
          <w:tcPr>
            <w:tcW w:w="3448" w:type="dxa"/>
          </w:tcPr>
          <w:p w:rsidR="000D7334" w:rsidRDefault="000D7334" w:rsidP="009D38D9">
            <w:pPr>
              <w:spacing w:before="120"/>
              <w:ind w:right="-2"/>
              <w:jc w:val="both"/>
              <w:rPr>
                <w:rFonts w:ascii="Verdana" w:hAnsi="Verdana"/>
                <w:sz w:val="18"/>
              </w:rPr>
            </w:pPr>
          </w:p>
        </w:tc>
        <w:tc>
          <w:tcPr>
            <w:tcW w:w="3448"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Rendement (%)</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Massifs</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80%</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Copeaux</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75%</w:t>
            </w:r>
          </w:p>
        </w:tc>
      </w:tr>
    </w:tbl>
    <w:p w:rsidR="004E091C" w:rsidRDefault="004E091C"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p>
    <w:p w:rsidR="00EA44B1" w:rsidRPr="00EA44B1" w:rsidRDefault="00EA44B1" w:rsidP="009D38D9">
      <w:pPr>
        <w:spacing w:before="120"/>
        <w:ind w:right="-2"/>
        <w:jc w:val="both"/>
        <w:rPr>
          <w:rFonts w:ascii="Verdana" w:hAnsi="Verdana"/>
          <w:b/>
          <w:sz w:val="18"/>
          <w:u w:val="single"/>
        </w:rPr>
      </w:pPr>
      <w:r w:rsidRPr="00EA44B1">
        <w:rPr>
          <w:rFonts w:ascii="Verdana" w:hAnsi="Verdana"/>
          <w:b/>
          <w:sz w:val="18"/>
          <w:u w:val="single"/>
        </w:rPr>
        <w:t>5 – Prix des chutes internes, MESSIER et du marché libre</w:t>
      </w:r>
    </w:p>
    <w:p w:rsidR="00334496" w:rsidRDefault="00EA44B1" w:rsidP="009D38D9">
      <w:pPr>
        <w:spacing w:before="120"/>
        <w:ind w:right="-2"/>
        <w:jc w:val="both"/>
        <w:rPr>
          <w:rFonts w:ascii="Verdana" w:hAnsi="Verdana"/>
          <w:sz w:val="18"/>
        </w:rPr>
      </w:pPr>
      <w:r>
        <w:rPr>
          <w:rFonts w:ascii="Verdana" w:hAnsi="Verdana"/>
          <w:sz w:val="18"/>
        </w:rPr>
        <w:t xml:space="preserve">Dans un but de pouvoir se comparer au prix d’approvisionnement des lingots du contrat MESSIER-TIMET-AD, ou les chutes sont valorisées à 0, </w:t>
      </w:r>
      <w:r w:rsidRPr="006A1359">
        <w:rPr>
          <w:rFonts w:ascii="Verdana" w:hAnsi="Verdana"/>
          <w:sz w:val="18"/>
          <w:u w:val="single"/>
        </w:rPr>
        <w:t>nous valorisons à 0 les chutes générées chez AD et chez MESSIER</w:t>
      </w:r>
      <w:r>
        <w:rPr>
          <w:rFonts w:ascii="Verdana" w:hAnsi="Verdana"/>
          <w:sz w:val="18"/>
        </w:rPr>
        <w:t>.</w:t>
      </w:r>
    </w:p>
    <w:p w:rsidR="00334496" w:rsidRDefault="00334496"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lastRenderedPageBreak/>
        <w:t>Depuis fin de semaine 2, Thierry BERNET cherche à obtenir des prix de Ti 10.2.3 auprès des différents traiteurs (Thierry prétexte que nous cherchons des chutes pour des élaborations à l’IV30 de nuance type A286).</w:t>
      </w:r>
    </w:p>
    <w:p w:rsidR="00EA44B1" w:rsidRDefault="00EA44B1" w:rsidP="009D38D9">
      <w:pPr>
        <w:spacing w:before="120"/>
        <w:ind w:right="-2"/>
        <w:jc w:val="both"/>
        <w:rPr>
          <w:rFonts w:ascii="Verdana" w:hAnsi="Verdana"/>
          <w:sz w:val="18"/>
        </w:rPr>
      </w:pPr>
      <w:r>
        <w:rPr>
          <w:rFonts w:ascii="Verdana" w:hAnsi="Verdana"/>
          <w:sz w:val="18"/>
        </w:rPr>
        <w:t xml:space="preserve">A ce jour nous n’avons eu qu’un seul retour : GOLDMANTITANIUM nous propose des chutes </w:t>
      </w:r>
      <w:r w:rsidRPr="00EA44B1">
        <w:rPr>
          <w:rFonts w:ascii="Verdana" w:hAnsi="Verdana"/>
          <w:sz w:val="18"/>
          <w:u w:val="single"/>
        </w:rPr>
        <w:t>massives traitées</w:t>
      </w:r>
      <w:r>
        <w:rPr>
          <w:rFonts w:ascii="Verdana" w:hAnsi="Verdana"/>
          <w:sz w:val="18"/>
        </w:rPr>
        <w:t xml:space="preserve"> pour élaboration VIM à 3,5 $/lb. Sur la base ce cette seule information de prix, nous avons décidé :</w:t>
      </w:r>
    </w:p>
    <w:p w:rsid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D’appliquer un coefficient de prudence économique de +10% sur ce prix.</w:t>
      </w:r>
    </w:p>
    <w:p w:rsidR="00EA44B1" w:rsidRP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En l’absence de prix pour des copeaux,</w:t>
      </w:r>
      <w:r w:rsidR="00084B3E">
        <w:rPr>
          <w:rFonts w:ascii="Verdana" w:hAnsi="Verdana"/>
          <w:sz w:val="18"/>
        </w:rPr>
        <w:t xml:space="preserve"> et par mesure de précaution </w:t>
      </w:r>
      <w:r>
        <w:rPr>
          <w:rFonts w:ascii="Verdana" w:hAnsi="Verdana"/>
          <w:sz w:val="18"/>
        </w:rPr>
        <w:t xml:space="preserve"> nous appliquons le même prix sur les copeaux</w:t>
      </w:r>
      <w:r w:rsidR="00084B3E">
        <w:rPr>
          <w:rFonts w:ascii="Verdana" w:hAnsi="Verdana"/>
          <w:sz w:val="18"/>
        </w:rPr>
        <w:t xml:space="preserve"> </w:t>
      </w:r>
      <w:r w:rsidR="00084B3E" w:rsidRPr="00084B3E">
        <w:rPr>
          <w:rFonts w:ascii="Verdana" w:hAnsi="Verdana"/>
          <w:sz w:val="18"/>
        </w:rPr>
        <w:sym w:font="Wingdings" w:char="F0E8"/>
      </w:r>
      <w:r w:rsidR="00084B3E">
        <w:rPr>
          <w:rFonts w:ascii="Verdana" w:hAnsi="Verdana"/>
          <w:sz w:val="18"/>
        </w:rPr>
        <w:t xml:space="preserve"> les copeaux non traités sont certainement moins chers, mais avec le rendement de traitement et le coût du traitement (y compris le contrôle RX)</w:t>
      </w:r>
      <w:r w:rsidR="00D652E7">
        <w:rPr>
          <w:rFonts w:ascii="Verdana" w:hAnsi="Verdana"/>
          <w:sz w:val="18"/>
        </w:rPr>
        <w:t>, nous prendrons le même prix.</w:t>
      </w:r>
    </w:p>
    <w:p w:rsidR="006A1359" w:rsidRDefault="006A1359" w:rsidP="009D38D9">
      <w:pPr>
        <w:spacing w:before="120"/>
        <w:ind w:right="-2"/>
        <w:jc w:val="both"/>
        <w:rPr>
          <w:rFonts w:ascii="Verdana" w:hAnsi="Verdana"/>
          <w:sz w:val="18"/>
        </w:rPr>
      </w:pPr>
    </w:p>
    <w:p w:rsidR="006A1359" w:rsidRDefault="006A1359" w:rsidP="009D38D9">
      <w:pPr>
        <w:spacing w:before="120"/>
        <w:ind w:right="-2"/>
        <w:jc w:val="both"/>
        <w:rPr>
          <w:rFonts w:ascii="Verdana" w:hAnsi="Verdana"/>
          <w:sz w:val="18"/>
        </w:rPr>
      </w:pPr>
      <w:r>
        <w:rPr>
          <w:rFonts w:ascii="Verdana" w:hAnsi="Verdana"/>
          <w:sz w:val="18"/>
        </w:rPr>
        <w:t>Thierry BERNET estime que nous pourrons avoir d’autre prix d’ici mi-février.</w:t>
      </w:r>
    </w:p>
    <w:p w:rsidR="006A1359" w:rsidRDefault="006A1359" w:rsidP="009D38D9">
      <w:pPr>
        <w:spacing w:before="120"/>
        <w:ind w:right="-2"/>
        <w:jc w:val="both"/>
        <w:rPr>
          <w:rFonts w:ascii="Verdana" w:hAnsi="Verdana"/>
          <w:sz w:val="18"/>
        </w:rPr>
      </w:pPr>
    </w:p>
    <w:p w:rsidR="00334496" w:rsidRDefault="000D7334" w:rsidP="009D38D9">
      <w:pPr>
        <w:spacing w:before="120"/>
        <w:ind w:right="-2"/>
        <w:jc w:val="both"/>
        <w:rPr>
          <w:rFonts w:ascii="Verdana" w:hAnsi="Verdana"/>
          <w:sz w:val="18"/>
        </w:rPr>
      </w:pPr>
      <w:proofErr w:type="spellStart"/>
      <w:r>
        <w:rPr>
          <w:rFonts w:ascii="Verdana" w:hAnsi="Verdana"/>
          <w:sz w:val="18"/>
        </w:rPr>
        <w:t>Rq</w:t>
      </w:r>
      <w:proofErr w:type="spellEnd"/>
      <w:r>
        <w:rPr>
          <w:rFonts w:ascii="Verdana" w:hAnsi="Verdana"/>
          <w:sz w:val="18"/>
        </w:rPr>
        <w:t> : la parité €/$ utilisée dans les calculs est prise 1,35.</w:t>
      </w:r>
    </w:p>
    <w:p w:rsidR="000D7334" w:rsidRDefault="000D7334" w:rsidP="009D38D9">
      <w:pPr>
        <w:spacing w:before="120"/>
        <w:ind w:right="-2"/>
        <w:jc w:val="both"/>
        <w:rPr>
          <w:rFonts w:ascii="Verdana" w:hAnsi="Verdana"/>
          <w:sz w:val="18"/>
        </w:rPr>
      </w:pPr>
    </w:p>
    <w:p w:rsidR="000D7334" w:rsidRDefault="000D7334" w:rsidP="009D38D9">
      <w:pPr>
        <w:spacing w:before="120"/>
        <w:ind w:right="-2"/>
        <w:jc w:val="both"/>
        <w:rPr>
          <w:rFonts w:ascii="Verdana" w:hAnsi="Verdana"/>
          <w:sz w:val="18"/>
        </w:rPr>
      </w:pPr>
      <w:r>
        <w:rPr>
          <w:rFonts w:ascii="Verdana" w:hAnsi="Verdana"/>
          <w:sz w:val="18"/>
        </w:rPr>
        <w:t>En résumé :</w:t>
      </w:r>
    </w:p>
    <w:tbl>
      <w:tblPr>
        <w:tblStyle w:val="Grilledutableau"/>
        <w:tblW w:w="0" w:type="auto"/>
        <w:tblLook w:val="04A0" w:firstRow="1" w:lastRow="0" w:firstColumn="1" w:lastColumn="0" w:noHBand="0" w:noVBand="1"/>
      </w:tblPr>
      <w:tblGrid>
        <w:gridCol w:w="2586"/>
        <w:gridCol w:w="2586"/>
        <w:gridCol w:w="2586"/>
        <w:gridCol w:w="2586"/>
      </w:tblGrid>
      <w:tr w:rsidR="000D7334" w:rsidTr="000D7334">
        <w:tc>
          <w:tcPr>
            <w:tcW w:w="2586" w:type="dxa"/>
          </w:tcPr>
          <w:p w:rsidR="000D7334" w:rsidRDefault="000D7334" w:rsidP="009D38D9">
            <w:pPr>
              <w:spacing w:before="120"/>
              <w:ind w:right="-2"/>
              <w:jc w:val="both"/>
              <w:rPr>
                <w:rFonts w:ascii="Verdana" w:hAnsi="Verdana"/>
                <w:sz w:val="18"/>
              </w:rPr>
            </w:pP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AD</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MESSIER</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marché libre</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Massifs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Copeaux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bl>
    <w:p w:rsidR="000D7334" w:rsidRDefault="000D7334" w:rsidP="009D38D9">
      <w:pPr>
        <w:spacing w:before="120"/>
        <w:ind w:right="-2"/>
        <w:jc w:val="both"/>
        <w:rPr>
          <w:rFonts w:ascii="Verdana" w:hAnsi="Verdana"/>
          <w:sz w:val="18"/>
        </w:rPr>
      </w:pPr>
    </w:p>
    <w:p w:rsidR="00031B51" w:rsidRPr="0033348C" w:rsidRDefault="0033348C" w:rsidP="009D38D9">
      <w:pPr>
        <w:spacing w:before="120"/>
        <w:ind w:right="-2"/>
        <w:jc w:val="both"/>
        <w:rPr>
          <w:rFonts w:ascii="Verdana" w:hAnsi="Verdana"/>
          <w:b/>
          <w:sz w:val="18"/>
          <w:u w:val="single"/>
        </w:rPr>
      </w:pPr>
      <w:r w:rsidRPr="0033348C">
        <w:rPr>
          <w:rFonts w:ascii="Verdana" w:hAnsi="Verdana"/>
          <w:b/>
          <w:sz w:val="18"/>
          <w:u w:val="single"/>
        </w:rPr>
        <w:t xml:space="preserve">6 – Prix </w:t>
      </w:r>
      <w:r>
        <w:rPr>
          <w:rFonts w:ascii="Verdana" w:hAnsi="Verdana"/>
          <w:b/>
          <w:sz w:val="18"/>
          <w:u w:val="single"/>
        </w:rPr>
        <w:t>du traitement</w:t>
      </w:r>
    </w:p>
    <w:p w:rsidR="0033348C" w:rsidRDefault="0033348C" w:rsidP="009D38D9">
      <w:pPr>
        <w:spacing w:before="120"/>
        <w:ind w:right="-2"/>
        <w:jc w:val="both"/>
        <w:rPr>
          <w:rFonts w:ascii="Verdana" w:hAnsi="Verdana"/>
          <w:sz w:val="18"/>
        </w:rPr>
      </w:pPr>
      <w:r>
        <w:rPr>
          <w:rFonts w:ascii="Verdana" w:hAnsi="Verdana"/>
          <w:sz w:val="18"/>
        </w:rPr>
        <w:t>Pour les chutes générées chez AD et MESSIER, nous sommes parti</w:t>
      </w:r>
      <w:r w:rsidR="00F13902">
        <w:rPr>
          <w:rFonts w:ascii="Verdana" w:hAnsi="Verdana"/>
          <w:sz w:val="18"/>
        </w:rPr>
        <w:t>s</w:t>
      </w:r>
      <w:r>
        <w:rPr>
          <w:rFonts w:ascii="Verdana" w:hAnsi="Verdana"/>
          <w:sz w:val="18"/>
        </w:rPr>
        <w:t xml:space="preserve"> sur les coûts pris en compte dans le modèle économique du TA6V et nous avons appliqué les augmentations suivantes :</w:t>
      </w:r>
    </w:p>
    <w:p w:rsidR="00A30172" w:rsidRDefault="00F13902" w:rsidP="0033348C">
      <w:pPr>
        <w:pStyle w:val="Paragraphedeliste"/>
        <w:numPr>
          <w:ilvl w:val="0"/>
          <w:numId w:val="16"/>
        </w:numPr>
        <w:spacing w:before="120"/>
        <w:ind w:right="-2"/>
        <w:jc w:val="both"/>
        <w:rPr>
          <w:rFonts w:ascii="Verdana" w:hAnsi="Verdana"/>
          <w:sz w:val="18"/>
        </w:rPr>
      </w:pPr>
      <w:r>
        <w:rPr>
          <w:rFonts w:ascii="Verdana" w:hAnsi="Verdana"/>
          <w:sz w:val="18"/>
        </w:rPr>
        <w:t>+10% car nous n’avons pas d’informations précises sur le traitement des massifs</w:t>
      </w:r>
      <w:r w:rsidR="006A1359">
        <w:rPr>
          <w:rFonts w:ascii="Verdana" w:hAnsi="Verdana"/>
          <w:sz w:val="18"/>
        </w:rPr>
        <w:t>, mais nous pensons que ce traitement sera plus poussé que pour le TA6V.</w:t>
      </w:r>
    </w:p>
    <w:p w:rsidR="0033348C" w:rsidRPr="0033348C" w:rsidRDefault="00A30172" w:rsidP="0033348C">
      <w:pPr>
        <w:pStyle w:val="Paragraphedeliste"/>
        <w:numPr>
          <w:ilvl w:val="0"/>
          <w:numId w:val="16"/>
        </w:numPr>
        <w:spacing w:before="120"/>
        <w:ind w:right="-2"/>
        <w:jc w:val="both"/>
        <w:rPr>
          <w:rFonts w:ascii="Verdana" w:hAnsi="Verdana"/>
          <w:sz w:val="18"/>
        </w:rPr>
      </w:pPr>
      <w:r>
        <w:rPr>
          <w:rFonts w:ascii="Verdana" w:hAnsi="Verdana"/>
          <w:sz w:val="18"/>
        </w:rPr>
        <w:t>+30% pour prendre en compte le contrôle RX et le traitement de dégraissage plus poussé.</w:t>
      </w:r>
      <w:r w:rsidR="00F13902">
        <w:rPr>
          <w:rFonts w:ascii="Verdana" w:hAnsi="Verdana"/>
          <w:sz w:val="18"/>
        </w:rPr>
        <w:t xml:space="preserve"> </w:t>
      </w:r>
    </w:p>
    <w:p w:rsidR="001651C7" w:rsidRDefault="001651C7" w:rsidP="007A64E6">
      <w:pPr>
        <w:spacing w:before="120"/>
        <w:ind w:right="-2"/>
        <w:jc w:val="both"/>
        <w:rPr>
          <w:rFonts w:ascii="Verdana" w:hAnsi="Verdana"/>
          <w:sz w:val="18"/>
        </w:rPr>
      </w:pPr>
    </w:p>
    <w:p w:rsidR="000D7334" w:rsidRDefault="000D7334" w:rsidP="007A64E6">
      <w:pPr>
        <w:spacing w:before="120"/>
        <w:ind w:right="-2"/>
        <w:jc w:val="both"/>
        <w:rPr>
          <w:rFonts w:ascii="Verdana" w:hAnsi="Verdana"/>
          <w:sz w:val="18"/>
        </w:rPr>
      </w:pPr>
      <w:r>
        <w:rPr>
          <w:rFonts w:ascii="Verdana" w:hAnsi="Verdana"/>
          <w:sz w:val="18"/>
        </w:rPr>
        <w:t>Soit :</w:t>
      </w:r>
    </w:p>
    <w:p w:rsidR="000D7334" w:rsidRDefault="000D7334" w:rsidP="007A64E6">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1A4FBB" w:rsidTr="0074475F">
        <w:trPr>
          <w:jc w:val="center"/>
        </w:trPr>
        <w:tc>
          <w:tcPr>
            <w:tcW w:w="3448" w:type="dxa"/>
            <w:shd w:val="clear" w:color="auto" w:fill="92D050"/>
          </w:tcPr>
          <w:p w:rsidR="001A4FBB" w:rsidRDefault="0074475F" w:rsidP="007A64E6">
            <w:pPr>
              <w:spacing w:before="120"/>
              <w:ind w:right="-2"/>
              <w:jc w:val="both"/>
              <w:rPr>
                <w:rFonts w:ascii="Verdana" w:hAnsi="Verdana"/>
                <w:sz w:val="18"/>
              </w:rPr>
            </w:pPr>
            <w:r>
              <w:rPr>
                <w:rFonts w:ascii="Verdana" w:hAnsi="Verdana"/>
                <w:sz w:val="18"/>
              </w:rPr>
              <w:t>Chutes</w:t>
            </w:r>
          </w:p>
        </w:tc>
        <w:tc>
          <w:tcPr>
            <w:tcW w:w="3448" w:type="dxa"/>
            <w:shd w:val="clear" w:color="auto" w:fill="92D050"/>
          </w:tcPr>
          <w:p w:rsidR="001A4FBB" w:rsidRDefault="001A4FBB" w:rsidP="00B353C1">
            <w:pPr>
              <w:spacing w:before="120"/>
              <w:ind w:right="-2"/>
              <w:jc w:val="center"/>
              <w:rPr>
                <w:rFonts w:ascii="Verdana" w:hAnsi="Verdana"/>
                <w:sz w:val="18"/>
              </w:rPr>
            </w:pPr>
            <w:r>
              <w:rPr>
                <w:rFonts w:ascii="Verdana" w:hAnsi="Verdana"/>
                <w:sz w:val="18"/>
              </w:rPr>
              <w:t>Prix de traitement (€/kg)</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Massifs</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1,28</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Copeaux</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2,28</w:t>
            </w:r>
          </w:p>
        </w:tc>
      </w:tr>
    </w:tbl>
    <w:p w:rsidR="000D7334" w:rsidRDefault="000D7334" w:rsidP="007A64E6">
      <w:pPr>
        <w:spacing w:before="120"/>
        <w:ind w:right="-2"/>
        <w:jc w:val="both"/>
        <w:rPr>
          <w:rFonts w:ascii="Verdana" w:hAnsi="Verdana"/>
          <w:sz w:val="18"/>
        </w:rPr>
      </w:pPr>
    </w:p>
    <w:p w:rsidR="00A30172" w:rsidRPr="004E189B" w:rsidRDefault="004E189B" w:rsidP="007A64E6">
      <w:pPr>
        <w:spacing w:before="120"/>
        <w:ind w:right="-2"/>
        <w:jc w:val="both"/>
        <w:rPr>
          <w:rFonts w:ascii="Verdana" w:hAnsi="Verdana"/>
          <w:b/>
          <w:sz w:val="18"/>
          <w:u w:val="single"/>
        </w:rPr>
      </w:pPr>
      <w:r w:rsidRPr="004E189B">
        <w:rPr>
          <w:rFonts w:ascii="Verdana" w:hAnsi="Verdana"/>
          <w:b/>
          <w:sz w:val="18"/>
          <w:u w:val="single"/>
        </w:rPr>
        <w:t>7 – Prix du transport</w:t>
      </w:r>
    </w:p>
    <w:p w:rsidR="004E189B" w:rsidRDefault="004E189B" w:rsidP="007A64E6">
      <w:pPr>
        <w:spacing w:before="120"/>
        <w:ind w:right="-2"/>
        <w:jc w:val="both"/>
        <w:rPr>
          <w:rFonts w:ascii="Verdana" w:hAnsi="Verdana"/>
          <w:sz w:val="18"/>
        </w:rPr>
      </w:pPr>
      <w:r>
        <w:rPr>
          <w:rFonts w:ascii="Verdana" w:hAnsi="Verdana"/>
          <w:sz w:val="18"/>
        </w:rPr>
        <w:t>Pour assurer le transport des chutes depuis AD ou MESSIER sur le site de traitement et pour le retour des chutes traités jusqu’à EcoTitanium, nous avons appliqué les coûts du modèle économique établi pour le TA6V.</w:t>
      </w:r>
    </w:p>
    <w:p w:rsidR="004E189B" w:rsidRDefault="004E189B" w:rsidP="007A64E6">
      <w:pPr>
        <w:spacing w:before="120"/>
        <w:ind w:right="-2"/>
        <w:jc w:val="both"/>
        <w:rPr>
          <w:rFonts w:ascii="Verdana" w:hAnsi="Verdana"/>
          <w:sz w:val="18"/>
        </w:rPr>
      </w:pPr>
    </w:p>
    <w:p w:rsidR="00B876BE" w:rsidRDefault="00B876BE" w:rsidP="007A64E6">
      <w:pPr>
        <w:spacing w:before="120"/>
        <w:ind w:right="-2"/>
        <w:jc w:val="both"/>
        <w:rPr>
          <w:rFonts w:ascii="Verdana" w:hAnsi="Verdana"/>
          <w:sz w:val="18"/>
        </w:rPr>
      </w:pPr>
      <w:r>
        <w:rPr>
          <w:rFonts w:ascii="Verdana" w:hAnsi="Verdana"/>
          <w:sz w:val="18"/>
        </w:rPr>
        <w:t xml:space="preserve">Pour les chutes achetées sur le marché libre aux USA, Thierry BERNET nous a donné un coût de transport en conteneur depuis New-York. Sur cette base, nous avons augmenté de </w:t>
      </w:r>
      <w:r w:rsidR="00C55979">
        <w:rPr>
          <w:rFonts w:ascii="Verdana" w:hAnsi="Verdana"/>
          <w:sz w:val="18"/>
        </w:rPr>
        <w:t>2</w:t>
      </w:r>
      <w:r w:rsidR="00511AC8">
        <w:rPr>
          <w:rFonts w:ascii="Verdana" w:hAnsi="Verdana"/>
          <w:sz w:val="18"/>
        </w:rPr>
        <w:t>5</w:t>
      </w:r>
      <w:r>
        <w:rPr>
          <w:rFonts w:ascii="Verdana" w:hAnsi="Verdana"/>
          <w:sz w:val="18"/>
        </w:rPr>
        <w:t xml:space="preserve">% car les chutes </w:t>
      </w:r>
      <w:r w:rsidR="00C55979">
        <w:rPr>
          <w:rFonts w:ascii="Verdana" w:hAnsi="Verdana"/>
          <w:sz w:val="18"/>
        </w:rPr>
        <w:t>peuvent venir de tous les USA, soit un coût de 0,2</w:t>
      </w:r>
      <w:r w:rsidR="00511AC8">
        <w:rPr>
          <w:rFonts w:ascii="Verdana" w:hAnsi="Verdana"/>
          <w:sz w:val="18"/>
        </w:rPr>
        <w:t>15</w:t>
      </w:r>
      <w:r w:rsidR="00C55979">
        <w:rPr>
          <w:rFonts w:ascii="Verdana" w:hAnsi="Verdana"/>
          <w:sz w:val="18"/>
        </w:rPr>
        <w:t xml:space="preserve"> €/kg.</w:t>
      </w:r>
      <w:r w:rsidR="00511AC8">
        <w:rPr>
          <w:rFonts w:ascii="Verdana" w:hAnsi="Verdana"/>
          <w:sz w:val="18"/>
        </w:rPr>
        <w:t xml:space="preserve"> Pour information  Olivier DOUTRELIGNE nous a donné le coût de transport des lingots depuis TIMET Morgantown jusqu’au Ancizes à 0,30 $/kg soit 0,22 €/kg. Nous avons retenu 0,215€/kg dans le calcul.</w:t>
      </w:r>
    </w:p>
    <w:p w:rsidR="00C55979" w:rsidRDefault="00C55979" w:rsidP="007A64E6">
      <w:pPr>
        <w:spacing w:before="120"/>
        <w:ind w:right="-2"/>
        <w:jc w:val="both"/>
        <w:rPr>
          <w:rFonts w:ascii="Verdana" w:hAnsi="Verdana"/>
          <w:sz w:val="18"/>
        </w:rPr>
      </w:pPr>
    </w:p>
    <w:p w:rsidR="00B876BE" w:rsidRPr="00B876BE" w:rsidRDefault="00B876BE" w:rsidP="007A64E6">
      <w:pPr>
        <w:spacing w:before="120"/>
        <w:ind w:right="-2"/>
        <w:jc w:val="both"/>
        <w:rPr>
          <w:rFonts w:ascii="Verdana" w:hAnsi="Verdana"/>
          <w:b/>
          <w:sz w:val="18"/>
          <w:u w:val="single"/>
        </w:rPr>
      </w:pPr>
      <w:r w:rsidRPr="00B876BE">
        <w:rPr>
          <w:rFonts w:ascii="Verdana" w:hAnsi="Verdana"/>
          <w:b/>
          <w:sz w:val="18"/>
          <w:u w:val="single"/>
        </w:rPr>
        <w:t>8 – Prix des éponges</w:t>
      </w:r>
      <w:r w:rsidR="007F5B57">
        <w:rPr>
          <w:rFonts w:ascii="Verdana" w:hAnsi="Verdana"/>
          <w:b/>
          <w:sz w:val="18"/>
          <w:u w:val="single"/>
        </w:rPr>
        <w:t xml:space="preserve"> et masteralloy</w:t>
      </w:r>
    </w:p>
    <w:p w:rsidR="00B876BE" w:rsidRDefault="007F5B57" w:rsidP="007A64E6">
      <w:pPr>
        <w:spacing w:before="120"/>
        <w:ind w:right="-2"/>
        <w:jc w:val="both"/>
        <w:rPr>
          <w:rFonts w:ascii="Verdana" w:hAnsi="Verdana"/>
          <w:sz w:val="18"/>
        </w:rPr>
      </w:pPr>
      <w:r>
        <w:rPr>
          <w:rFonts w:ascii="Verdana" w:hAnsi="Verdana"/>
          <w:sz w:val="18"/>
        </w:rPr>
        <w:t xml:space="preserve">Le prix des éponges est de 10 $/kg. </w:t>
      </w:r>
    </w:p>
    <w:p w:rsidR="007F5B57" w:rsidRDefault="007F5B57" w:rsidP="007A64E6">
      <w:pPr>
        <w:spacing w:before="120"/>
        <w:ind w:right="-2"/>
        <w:jc w:val="both"/>
        <w:rPr>
          <w:rFonts w:ascii="Verdana" w:hAnsi="Verdana"/>
          <w:sz w:val="18"/>
        </w:rPr>
      </w:pPr>
      <w:proofErr w:type="spellStart"/>
      <w:r>
        <w:rPr>
          <w:rFonts w:ascii="Verdana" w:hAnsi="Verdana"/>
          <w:sz w:val="18"/>
        </w:rPr>
        <w:t>GFe</w:t>
      </w:r>
      <w:proofErr w:type="spellEnd"/>
      <w:r>
        <w:rPr>
          <w:rFonts w:ascii="Verdana" w:hAnsi="Verdana"/>
          <w:sz w:val="18"/>
        </w:rPr>
        <w:t xml:space="preserve"> nous a fait une offre pour le masteralloy 69%VA – 19% Al – 12% Fe  à </w:t>
      </w:r>
      <w:r w:rsidR="00C55979">
        <w:rPr>
          <w:rFonts w:ascii="Verdana" w:hAnsi="Verdana"/>
          <w:sz w:val="18"/>
        </w:rPr>
        <w:t>25</w:t>
      </w:r>
      <w:r>
        <w:rPr>
          <w:rFonts w:ascii="Verdana" w:hAnsi="Verdana"/>
          <w:sz w:val="18"/>
        </w:rPr>
        <w:t xml:space="preserve"> €/kg.</w:t>
      </w:r>
    </w:p>
    <w:p w:rsidR="000E2586" w:rsidRDefault="000E2586" w:rsidP="007A64E6">
      <w:pPr>
        <w:spacing w:before="120"/>
        <w:ind w:right="-2"/>
        <w:jc w:val="both"/>
        <w:rPr>
          <w:rFonts w:ascii="Verdana" w:hAnsi="Verdana"/>
          <w:sz w:val="18"/>
        </w:rPr>
      </w:pPr>
    </w:p>
    <w:p w:rsidR="00FB7CBE" w:rsidRPr="00FB7CBE" w:rsidRDefault="00A348CF" w:rsidP="007A64E6">
      <w:pPr>
        <w:spacing w:before="120"/>
        <w:ind w:right="-2"/>
        <w:jc w:val="both"/>
        <w:rPr>
          <w:rFonts w:ascii="Verdana" w:hAnsi="Verdana"/>
          <w:b/>
          <w:sz w:val="18"/>
          <w:u w:val="single"/>
        </w:rPr>
      </w:pPr>
      <w:r>
        <w:rPr>
          <w:rFonts w:ascii="Verdana" w:hAnsi="Verdana"/>
          <w:b/>
          <w:sz w:val="18"/>
          <w:u w:val="single"/>
        </w:rPr>
        <w:t>9</w:t>
      </w:r>
      <w:r w:rsidR="00FB7CBE" w:rsidRPr="00FB7CBE">
        <w:rPr>
          <w:rFonts w:ascii="Verdana" w:hAnsi="Verdana"/>
          <w:b/>
          <w:sz w:val="18"/>
          <w:u w:val="single"/>
        </w:rPr>
        <w:t xml:space="preserve"> – Impact sur les coûts fixes</w:t>
      </w:r>
    </w:p>
    <w:p w:rsidR="00FB7CBE" w:rsidRDefault="00FB7CBE" w:rsidP="007A64E6">
      <w:pPr>
        <w:spacing w:before="120"/>
        <w:ind w:right="-2"/>
        <w:jc w:val="both"/>
        <w:rPr>
          <w:rFonts w:ascii="Verdana" w:hAnsi="Verdana"/>
          <w:sz w:val="18"/>
        </w:rPr>
      </w:pPr>
      <w:r>
        <w:rPr>
          <w:rFonts w:ascii="Verdana" w:hAnsi="Verdana"/>
          <w:sz w:val="18"/>
        </w:rPr>
        <w:t xml:space="preserve">Dans l’estimation des prix, suite à discussion avec Henri POISSON, nous avons décidé de </w:t>
      </w:r>
      <w:r w:rsidR="0059394F">
        <w:rPr>
          <w:rFonts w:ascii="Verdana" w:hAnsi="Verdana"/>
          <w:sz w:val="18"/>
        </w:rPr>
        <w:t>rajouter</w:t>
      </w:r>
      <w:r>
        <w:rPr>
          <w:rFonts w:ascii="Verdana" w:hAnsi="Verdana"/>
          <w:sz w:val="18"/>
        </w:rPr>
        <w:t xml:space="preserve"> 200 k€/an de R&amp;D.</w:t>
      </w:r>
    </w:p>
    <w:p w:rsidR="00FB7CBE" w:rsidRDefault="00FB7CBE"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0E2586" w:rsidRPr="000E2586" w:rsidRDefault="00A348CF" w:rsidP="007A64E6">
      <w:pPr>
        <w:spacing w:before="120"/>
        <w:ind w:right="-2"/>
        <w:jc w:val="both"/>
        <w:rPr>
          <w:rFonts w:ascii="Verdana" w:hAnsi="Verdana"/>
          <w:b/>
          <w:sz w:val="18"/>
          <w:u w:val="single"/>
        </w:rPr>
      </w:pPr>
      <w:r>
        <w:rPr>
          <w:rFonts w:ascii="Verdana" w:hAnsi="Verdana"/>
          <w:b/>
          <w:sz w:val="18"/>
          <w:u w:val="single"/>
        </w:rPr>
        <w:t>10</w:t>
      </w:r>
      <w:r w:rsidR="000E2586" w:rsidRPr="000E2586">
        <w:rPr>
          <w:rFonts w:ascii="Verdana" w:hAnsi="Verdana"/>
          <w:b/>
          <w:sz w:val="18"/>
          <w:u w:val="single"/>
        </w:rPr>
        <w:t xml:space="preserve"> – Estimation du prix de revient et prix de vente</w:t>
      </w:r>
    </w:p>
    <w:p w:rsidR="000E2586" w:rsidRDefault="000E2586" w:rsidP="007A64E6">
      <w:pPr>
        <w:spacing w:before="120"/>
        <w:ind w:right="-2"/>
        <w:jc w:val="both"/>
        <w:rPr>
          <w:rFonts w:ascii="Verdana" w:hAnsi="Verdana"/>
          <w:sz w:val="18"/>
        </w:rPr>
      </w:pPr>
      <w:r>
        <w:rPr>
          <w:rFonts w:ascii="Verdana" w:hAnsi="Verdana"/>
          <w:sz w:val="18"/>
        </w:rPr>
        <w:t>Sur la base des informations et hypothèses expliquées ci-dessus, nous avons calculé un coût en €/kg de la valeur matière et du traitement des chutes.</w:t>
      </w:r>
    </w:p>
    <w:p w:rsidR="000E2586"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VM de 5%</w:t>
      </w:r>
      <w:r w:rsidRPr="00FB7CBE">
        <w:rPr>
          <w:rFonts w:ascii="Verdana" w:hAnsi="Verdana"/>
          <w:sz w:val="18"/>
        </w:rPr>
        <w:t>.</w:t>
      </w:r>
    </w:p>
    <w:p w:rsidR="00D37EA0" w:rsidRDefault="00D37EA0" w:rsidP="007A64E6">
      <w:pPr>
        <w:spacing w:before="120"/>
        <w:ind w:right="-2"/>
        <w:jc w:val="both"/>
        <w:rPr>
          <w:rFonts w:ascii="Verdana" w:hAnsi="Verdana"/>
          <w:sz w:val="18"/>
        </w:rPr>
      </w:pPr>
    </w:p>
    <w:p w:rsidR="000E2586" w:rsidRDefault="000E2586" w:rsidP="007A64E6">
      <w:pPr>
        <w:spacing w:before="120"/>
        <w:ind w:right="-2"/>
        <w:jc w:val="both"/>
        <w:rPr>
          <w:rFonts w:ascii="Verdana" w:hAnsi="Verdana"/>
          <w:sz w:val="18"/>
        </w:rPr>
      </w:pPr>
      <w:r>
        <w:rPr>
          <w:rFonts w:ascii="Verdana" w:hAnsi="Verdana"/>
          <w:sz w:val="18"/>
        </w:rPr>
        <w:t>Pour les coûts directs et les coûts fixes, nous sommes parti des coû</w:t>
      </w:r>
      <w:r w:rsidR="00CD58A7">
        <w:rPr>
          <w:rFonts w:ascii="Verdana" w:hAnsi="Verdana"/>
          <w:sz w:val="18"/>
        </w:rPr>
        <w:t>ts en €/kg du modèle économique</w:t>
      </w:r>
      <w:r w:rsidR="00D37EA0">
        <w:rPr>
          <w:rFonts w:ascii="Verdana" w:hAnsi="Verdana"/>
          <w:sz w:val="18"/>
        </w:rPr>
        <w:t xml:space="preserve"> TA6V</w:t>
      </w:r>
      <w:r w:rsidR="00CD58A7">
        <w:rPr>
          <w:rFonts w:ascii="Verdana" w:hAnsi="Verdana"/>
          <w:sz w:val="18"/>
        </w:rPr>
        <w:t>, calculé</w:t>
      </w:r>
      <w:r w:rsidR="00D37EA0">
        <w:rPr>
          <w:rFonts w:ascii="Verdana" w:hAnsi="Verdana"/>
          <w:sz w:val="18"/>
        </w:rPr>
        <w:t>s</w:t>
      </w:r>
      <w:r w:rsidR="00CD58A7">
        <w:rPr>
          <w:rFonts w:ascii="Verdana" w:hAnsi="Verdana"/>
          <w:sz w:val="18"/>
        </w:rPr>
        <w:t xml:space="preserve"> sur l’année 2022 (1</w:t>
      </w:r>
      <w:r w:rsidR="00CD58A7" w:rsidRPr="00CD58A7">
        <w:rPr>
          <w:rFonts w:ascii="Verdana" w:hAnsi="Verdana"/>
          <w:sz w:val="18"/>
          <w:vertAlign w:val="superscript"/>
        </w:rPr>
        <w:t>ère</w:t>
      </w:r>
      <w:r w:rsidR="00CD58A7">
        <w:rPr>
          <w:rFonts w:ascii="Verdana" w:hAnsi="Verdana"/>
          <w:sz w:val="18"/>
        </w:rPr>
        <w:t xml:space="preserve"> anné</w:t>
      </w:r>
      <w:r w:rsidR="00D37EA0">
        <w:rPr>
          <w:rFonts w:ascii="Verdana" w:hAnsi="Verdana"/>
          <w:sz w:val="18"/>
        </w:rPr>
        <w:t>e à pleine capacité) et adapté à la gamme du Ti 10.2.3.</w:t>
      </w:r>
    </w:p>
    <w:p w:rsidR="00D37EA0"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VA coût complet de 10%</w:t>
      </w:r>
      <w:r>
        <w:rPr>
          <w:rFonts w:ascii="Verdana" w:hAnsi="Verdana"/>
          <w:sz w:val="18"/>
        </w:rPr>
        <w:t>.</w:t>
      </w:r>
    </w:p>
    <w:p w:rsidR="00D37EA0" w:rsidRDefault="00D37EA0" w:rsidP="007A64E6">
      <w:pPr>
        <w:spacing w:before="120"/>
        <w:ind w:right="-2"/>
        <w:jc w:val="both"/>
        <w:rPr>
          <w:rFonts w:ascii="Verdana" w:hAnsi="Verdana"/>
          <w:sz w:val="18"/>
        </w:rPr>
      </w:pPr>
    </w:p>
    <w:p w:rsidR="00D37EA0" w:rsidRDefault="00F5389A" w:rsidP="007A64E6">
      <w:pPr>
        <w:spacing w:before="120"/>
        <w:ind w:right="-2"/>
        <w:jc w:val="both"/>
        <w:rPr>
          <w:rFonts w:ascii="Verdana" w:hAnsi="Verdana"/>
          <w:sz w:val="18"/>
        </w:rPr>
      </w:pPr>
      <w:r>
        <w:rPr>
          <w:rFonts w:ascii="Verdana" w:hAnsi="Verdana"/>
          <w:sz w:val="18"/>
        </w:rPr>
        <w:t xml:space="preserve">A partir du prix de revient ainsi calculé, nous avons appliqué une </w:t>
      </w:r>
      <w:r w:rsidR="00FB7CBE">
        <w:rPr>
          <w:rFonts w:ascii="Verdana" w:hAnsi="Verdana"/>
          <w:sz w:val="18"/>
        </w:rPr>
        <w:t xml:space="preserve">hypothèse de </w:t>
      </w:r>
      <w:r>
        <w:rPr>
          <w:rFonts w:ascii="Verdana" w:hAnsi="Verdana"/>
          <w:sz w:val="18"/>
        </w:rPr>
        <w:t>marge de 3</w:t>
      </w:r>
      <w:r w:rsidR="006A1359">
        <w:rPr>
          <w:rFonts w:ascii="Verdana" w:hAnsi="Verdana"/>
          <w:sz w:val="18"/>
        </w:rPr>
        <w:t>0% (pour rappel dans le modèle économique TA6V nous avons une marge de 29%).</w:t>
      </w:r>
    </w:p>
    <w:p w:rsidR="00F5389A" w:rsidRDefault="00F5389A" w:rsidP="007A64E6">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FB7CBE" w:rsidTr="006A1359">
        <w:tc>
          <w:tcPr>
            <w:tcW w:w="5172" w:type="dxa"/>
            <w:shd w:val="clear" w:color="auto" w:fill="92D050"/>
          </w:tcPr>
          <w:p w:rsidR="00FB7CBE" w:rsidRPr="006A1359" w:rsidRDefault="00FB7CBE" w:rsidP="007A64E6">
            <w:pPr>
              <w:spacing w:before="120"/>
              <w:ind w:right="-2"/>
              <w:jc w:val="both"/>
              <w:rPr>
                <w:rFonts w:ascii="Verdana" w:hAnsi="Verdana"/>
                <w:b/>
                <w:sz w:val="18"/>
              </w:rPr>
            </w:pPr>
            <w:r w:rsidRPr="006A1359">
              <w:rPr>
                <w:rFonts w:ascii="Verdana" w:hAnsi="Verdana"/>
                <w:b/>
                <w:sz w:val="18"/>
              </w:rPr>
              <w:t>Poste</w:t>
            </w:r>
            <w:r w:rsidR="006A1359" w:rsidRPr="006A1359">
              <w:rPr>
                <w:rFonts w:ascii="Verdana" w:hAnsi="Verdana"/>
                <w:b/>
                <w:sz w:val="18"/>
              </w:rPr>
              <w:t>s</w:t>
            </w:r>
          </w:p>
        </w:tc>
        <w:tc>
          <w:tcPr>
            <w:tcW w:w="5172" w:type="dxa"/>
            <w:shd w:val="clear" w:color="auto" w:fill="92D050"/>
          </w:tcPr>
          <w:p w:rsidR="00FB7CBE" w:rsidRPr="006A1359" w:rsidRDefault="006A1359" w:rsidP="00FB7CBE">
            <w:pPr>
              <w:spacing w:before="120"/>
              <w:ind w:right="-2"/>
              <w:jc w:val="center"/>
              <w:rPr>
                <w:rFonts w:ascii="Verdana" w:hAnsi="Verdana"/>
                <w:b/>
                <w:sz w:val="18"/>
              </w:rPr>
            </w:pPr>
            <w:r w:rsidRPr="006A1359">
              <w:rPr>
                <w:rFonts w:ascii="Verdana" w:hAnsi="Verdana"/>
                <w:b/>
                <w:sz w:val="18"/>
              </w:rPr>
              <w:t xml:space="preserve">Montant en </w:t>
            </w:r>
            <w:r w:rsidR="00FB7CBE" w:rsidRPr="006A1359">
              <w:rPr>
                <w:rFonts w:ascii="Verdana" w:hAnsi="Verdana"/>
                <w:b/>
                <w:sz w:val="18"/>
              </w:rPr>
              <w:t>€/kg</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Valeur Matières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5,88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Traitement et transport</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1,11</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Coûts Directs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2,58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Couts Fixes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2,43</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sans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12,00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matières</w:t>
            </w:r>
            <w:r w:rsidR="006A1359">
              <w:rPr>
                <w:rFonts w:ascii="Verdana" w:hAnsi="Verdana"/>
                <w:sz w:val="18"/>
              </w:rPr>
              <w:t xml:space="preserve"> (5%)</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0,35</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VA coût complet</w:t>
            </w:r>
            <w:r w:rsidR="006A1359">
              <w:rPr>
                <w:rFonts w:ascii="Verdana" w:hAnsi="Verdana"/>
                <w:sz w:val="18"/>
              </w:rPr>
              <w:t xml:space="preserve"> (10%)</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0,50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avec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12,8</w:t>
            </w:r>
            <w:r w:rsidR="00511AC8">
              <w:rPr>
                <w:rFonts w:ascii="Verdana" w:hAnsi="Verdana"/>
                <w:sz w:val="18"/>
              </w:rPr>
              <w:t>6</w:t>
            </w:r>
          </w:p>
        </w:tc>
      </w:tr>
      <w:tr w:rsidR="000C564E" w:rsidTr="00FB7CBE">
        <w:tc>
          <w:tcPr>
            <w:tcW w:w="5172" w:type="dxa"/>
          </w:tcPr>
          <w:p w:rsidR="000C564E" w:rsidRDefault="000C564E" w:rsidP="006A1359">
            <w:pPr>
              <w:spacing w:before="120"/>
              <w:ind w:right="-2"/>
              <w:jc w:val="both"/>
              <w:rPr>
                <w:rFonts w:ascii="Verdana" w:hAnsi="Verdana"/>
                <w:sz w:val="18"/>
              </w:rPr>
            </w:pPr>
            <w:r>
              <w:rPr>
                <w:rFonts w:ascii="Verdana" w:hAnsi="Verdana"/>
                <w:sz w:val="18"/>
              </w:rPr>
              <w:t>Prix de vente (marge 3</w:t>
            </w:r>
            <w:r w:rsidR="006A1359">
              <w:rPr>
                <w:rFonts w:ascii="Verdana" w:hAnsi="Verdana"/>
                <w:sz w:val="18"/>
              </w:rPr>
              <w:t>0</w:t>
            </w:r>
            <w:r>
              <w:rPr>
                <w:rFonts w:ascii="Verdana" w:hAnsi="Verdana"/>
                <w:sz w:val="18"/>
              </w:rPr>
              <w:t>%)</w:t>
            </w:r>
          </w:p>
        </w:tc>
        <w:tc>
          <w:tcPr>
            <w:tcW w:w="5172" w:type="dxa"/>
          </w:tcPr>
          <w:p w:rsidR="000C564E" w:rsidRPr="00B86D4D" w:rsidRDefault="006A1359" w:rsidP="006A1359">
            <w:pPr>
              <w:spacing w:before="120"/>
              <w:ind w:right="-2"/>
              <w:jc w:val="center"/>
              <w:rPr>
                <w:rFonts w:ascii="Verdana" w:hAnsi="Verdana"/>
                <w:b/>
                <w:sz w:val="18"/>
              </w:rPr>
            </w:pPr>
            <w:r w:rsidRPr="00B86D4D">
              <w:rPr>
                <w:rFonts w:ascii="Verdana" w:hAnsi="Verdana"/>
                <w:b/>
                <w:sz w:val="18"/>
              </w:rPr>
              <w:t>16,7</w:t>
            </w:r>
            <w:r w:rsidR="00511AC8">
              <w:rPr>
                <w:rFonts w:ascii="Verdana" w:hAnsi="Verdana"/>
                <w:b/>
                <w:sz w:val="18"/>
              </w:rPr>
              <w:t>1</w:t>
            </w:r>
          </w:p>
        </w:tc>
      </w:tr>
    </w:tbl>
    <w:p w:rsidR="006A1359" w:rsidRDefault="006A1359" w:rsidP="007A64E6">
      <w:pPr>
        <w:spacing w:before="120"/>
        <w:ind w:right="-2"/>
        <w:jc w:val="both"/>
        <w:rPr>
          <w:rFonts w:ascii="Verdana" w:hAnsi="Verdana"/>
          <w:sz w:val="18"/>
        </w:rPr>
      </w:pPr>
    </w:p>
    <w:p w:rsidR="00CD58A7" w:rsidRDefault="006A1359" w:rsidP="007A64E6">
      <w:pPr>
        <w:spacing w:before="120"/>
        <w:ind w:right="-2"/>
        <w:jc w:val="both"/>
        <w:rPr>
          <w:rFonts w:ascii="Verdana" w:hAnsi="Verdana"/>
          <w:sz w:val="18"/>
        </w:rPr>
      </w:pPr>
      <w:r>
        <w:rPr>
          <w:rFonts w:ascii="Verdana" w:hAnsi="Verdana"/>
          <w:sz w:val="18"/>
        </w:rPr>
        <w:t>Soir un prix de vente en $/kg de</w:t>
      </w:r>
      <w:r w:rsidR="00B86D4D">
        <w:rPr>
          <w:rFonts w:ascii="Verdana" w:hAnsi="Verdana"/>
          <w:sz w:val="18"/>
        </w:rPr>
        <w:t> :</w:t>
      </w:r>
      <w:r w:rsidR="00E1595B">
        <w:rPr>
          <w:rFonts w:ascii="Verdana" w:hAnsi="Verdana"/>
          <w:sz w:val="18"/>
        </w:rPr>
        <w:t xml:space="preserve"> </w:t>
      </w:r>
      <w:r w:rsidR="00E1595B" w:rsidRPr="00511AC8">
        <w:rPr>
          <w:rFonts w:ascii="Verdana" w:hAnsi="Verdana"/>
          <w:b/>
          <w:sz w:val="18"/>
        </w:rPr>
        <w:t>22,</w:t>
      </w:r>
      <w:r w:rsidR="00511AC8" w:rsidRPr="00511AC8">
        <w:rPr>
          <w:rFonts w:ascii="Verdana" w:hAnsi="Verdana"/>
          <w:b/>
          <w:sz w:val="18"/>
        </w:rPr>
        <w:t>56</w:t>
      </w:r>
      <w:r w:rsidRPr="00511AC8">
        <w:rPr>
          <w:rFonts w:ascii="Verdana" w:hAnsi="Verdana"/>
          <w:b/>
          <w:sz w:val="18"/>
        </w:rPr>
        <w:t xml:space="preserve"> $/kg</w:t>
      </w:r>
      <w:r w:rsidR="00E1595B">
        <w:rPr>
          <w:rFonts w:ascii="Verdana" w:hAnsi="Verdana"/>
          <w:sz w:val="18"/>
        </w:rPr>
        <w:t xml:space="preserve"> à parité €/$ de 1,</w:t>
      </w:r>
      <w:r>
        <w:rPr>
          <w:rFonts w:ascii="Verdana" w:hAnsi="Verdana"/>
          <w:sz w:val="18"/>
        </w:rPr>
        <w:t>35.</w:t>
      </w:r>
    </w:p>
    <w:p w:rsidR="00E1595B" w:rsidRDefault="00E1595B" w:rsidP="007A64E6">
      <w:pPr>
        <w:spacing w:before="120"/>
        <w:ind w:right="-2"/>
        <w:jc w:val="both"/>
        <w:rPr>
          <w:rFonts w:ascii="Verdana" w:hAnsi="Verdana"/>
          <w:sz w:val="18"/>
        </w:rPr>
      </w:pPr>
      <w:r w:rsidRPr="00E1595B">
        <w:rPr>
          <w:rFonts w:ascii="Verdana" w:hAnsi="Verdana"/>
          <w:sz w:val="18"/>
          <w:u w:val="single"/>
        </w:rPr>
        <w:t>Dans ce prix il n’y a pas l’homogénéisation lingot</w:t>
      </w:r>
      <w:r>
        <w:rPr>
          <w:rFonts w:ascii="Verdana" w:hAnsi="Verdana"/>
          <w:sz w:val="18"/>
        </w:rPr>
        <w:t>.</w:t>
      </w: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r>
        <w:rPr>
          <w:rFonts w:ascii="Verdana" w:hAnsi="Verdana"/>
          <w:sz w:val="18"/>
        </w:rPr>
        <w:t>Pour info, Olivier DOUTRELIGNE nous a transmis les prix du contrat MESSIER-TIMET-AD :</w:t>
      </w:r>
    </w:p>
    <w:p w:rsidR="00E1595B" w:rsidRDefault="00E1595B" w:rsidP="007A64E6">
      <w:pPr>
        <w:spacing w:before="120"/>
        <w:ind w:right="-2"/>
        <w:jc w:val="both"/>
        <w:rPr>
          <w:rFonts w:ascii="Verdana" w:hAnsi="Verdana"/>
          <w:sz w:val="18"/>
        </w:rPr>
      </w:pPr>
      <w:r>
        <w:rPr>
          <w:rFonts w:ascii="Verdana" w:hAnsi="Verdana"/>
          <w:sz w:val="18"/>
        </w:rPr>
        <w:t>Prix métal :</w:t>
      </w:r>
      <w:r>
        <w:rPr>
          <w:rFonts w:ascii="Verdana" w:hAnsi="Verdana"/>
          <w:sz w:val="18"/>
        </w:rPr>
        <w:tab/>
      </w:r>
      <w:r>
        <w:rPr>
          <w:rFonts w:ascii="Verdana" w:hAnsi="Verdana"/>
          <w:sz w:val="18"/>
        </w:rPr>
        <w:tab/>
      </w:r>
      <w:r>
        <w:rPr>
          <w:rFonts w:ascii="Verdana" w:hAnsi="Verdana"/>
          <w:sz w:val="18"/>
        </w:rPr>
        <w:tab/>
        <w:t xml:space="preserve"> 24,40 </w:t>
      </w:r>
      <w:r>
        <w:rPr>
          <w:rFonts w:ascii="Verdana" w:hAnsi="Verdana"/>
          <w:sz w:val="18"/>
        </w:rPr>
        <w:tab/>
        <w:t>$/kg</w:t>
      </w:r>
      <w:r w:rsidR="00511AC8">
        <w:rPr>
          <w:rFonts w:ascii="Verdana" w:hAnsi="Verdana"/>
          <w:sz w:val="18"/>
        </w:rPr>
        <w:t>,</w:t>
      </w:r>
    </w:p>
    <w:p w:rsidR="00E1595B" w:rsidRDefault="00E1595B" w:rsidP="007A64E6">
      <w:pPr>
        <w:spacing w:before="120"/>
        <w:ind w:right="-2"/>
        <w:jc w:val="both"/>
        <w:rPr>
          <w:rFonts w:ascii="Verdana" w:hAnsi="Verdana"/>
          <w:sz w:val="18"/>
        </w:rPr>
      </w:pPr>
      <w:r>
        <w:rPr>
          <w:rFonts w:ascii="Verdana" w:hAnsi="Verdana"/>
          <w:sz w:val="18"/>
        </w:rPr>
        <w:t>Transport rendu Ancizes :</w:t>
      </w:r>
      <w:r>
        <w:rPr>
          <w:rFonts w:ascii="Verdana" w:hAnsi="Verdana"/>
          <w:sz w:val="18"/>
        </w:rPr>
        <w:tab/>
        <w:t>+0,30</w:t>
      </w:r>
      <w:r>
        <w:rPr>
          <w:rFonts w:ascii="Verdana" w:hAnsi="Verdana"/>
          <w:sz w:val="18"/>
        </w:rPr>
        <w:tab/>
        <w:t>$/kg</w:t>
      </w:r>
      <w:r w:rsidR="00511AC8">
        <w:rPr>
          <w:rFonts w:ascii="Verdana" w:hAnsi="Verdana"/>
          <w:sz w:val="18"/>
        </w:rPr>
        <w:t>,</w:t>
      </w:r>
    </w:p>
    <w:p w:rsidR="00511AC8" w:rsidRDefault="00511AC8" w:rsidP="007A64E6">
      <w:pPr>
        <w:spacing w:before="120"/>
        <w:ind w:right="-2"/>
        <w:jc w:val="both"/>
        <w:rPr>
          <w:rFonts w:ascii="Verdana" w:hAnsi="Verdana"/>
          <w:sz w:val="18"/>
        </w:rPr>
      </w:pPr>
      <w:r>
        <w:rPr>
          <w:rFonts w:ascii="Verdana" w:hAnsi="Verdana"/>
          <w:sz w:val="18"/>
        </w:rPr>
        <w:t>Prix métal + transport :</w:t>
      </w:r>
      <w:r>
        <w:rPr>
          <w:rFonts w:ascii="Verdana" w:hAnsi="Verdana"/>
          <w:sz w:val="18"/>
        </w:rPr>
        <w:tab/>
        <w:t xml:space="preserve"> </w:t>
      </w:r>
      <w:r w:rsidRPr="00511AC8">
        <w:rPr>
          <w:rFonts w:ascii="Verdana" w:hAnsi="Verdana"/>
          <w:b/>
          <w:sz w:val="18"/>
        </w:rPr>
        <w:t>24,70</w:t>
      </w:r>
      <w:r>
        <w:rPr>
          <w:rFonts w:ascii="Verdana" w:hAnsi="Verdana"/>
          <w:sz w:val="18"/>
        </w:rPr>
        <w:tab/>
        <w:t>$/kg,</w:t>
      </w:r>
    </w:p>
    <w:p w:rsidR="00511AC8" w:rsidRDefault="00511AC8" w:rsidP="007A64E6">
      <w:pPr>
        <w:spacing w:before="120"/>
        <w:ind w:right="-2"/>
        <w:jc w:val="both"/>
        <w:rPr>
          <w:rFonts w:ascii="Verdana" w:hAnsi="Verdana"/>
          <w:sz w:val="18"/>
        </w:rPr>
      </w:pPr>
    </w:p>
    <w:p w:rsidR="00511AC8" w:rsidRDefault="00511AC8" w:rsidP="00511AC8">
      <w:pPr>
        <w:spacing w:before="120"/>
        <w:ind w:right="-2"/>
        <w:jc w:val="both"/>
        <w:rPr>
          <w:rFonts w:ascii="Verdana" w:hAnsi="Verdana"/>
          <w:sz w:val="18"/>
        </w:rPr>
      </w:pPr>
      <w:r>
        <w:rPr>
          <w:rFonts w:ascii="Verdana" w:hAnsi="Verdana"/>
          <w:sz w:val="18"/>
        </w:rPr>
        <w:t>Homogénéisation lingot :</w:t>
      </w:r>
      <w:r>
        <w:rPr>
          <w:rFonts w:ascii="Verdana" w:hAnsi="Verdana"/>
          <w:sz w:val="18"/>
        </w:rPr>
        <w:tab/>
        <w:t xml:space="preserve">+0,45 </w:t>
      </w:r>
      <w:r>
        <w:rPr>
          <w:rFonts w:ascii="Verdana" w:hAnsi="Verdana"/>
          <w:sz w:val="18"/>
        </w:rPr>
        <w:tab/>
        <w:t>$/kg,</w:t>
      </w:r>
    </w:p>
    <w:p w:rsidR="00511AC8" w:rsidRDefault="00511AC8" w:rsidP="00511AC8">
      <w:pPr>
        <w:spacing w:before="120"/>
        <w:ind w:right="-2"/>
        <w:jc w:val="both"/>
        <w:rPr>
          <w:rFonts w:ascii="Verdana" w:hAnsi="Verdana"/>
          <w:sz w:val="18"/>
        </w:rPr>
      </w:pPr>
      <w:r>
        <w:rPr>
          <w:rFonts w:ascii="Verdana" w:hAnsi="Verdana"/>
          <w:sz w:val="18"/>
        </w:rPr>
        <w:t>Prix total :</w:t>
      </w:r>
      <w:r>
        <w:rPr>
          <w:rFonts w:ascii="Verdana" w:hAnsi="Verdana"/>
          <w:sz w:val="18"/>
        </w:rPr>
        <w:tab/>
      </w:r>
      <w:r>
        <w:rPr>
          <w:rFonts w:ascii="Verdana" w:hAnsi="Verdana"/>
          <w:sz w:val="18"/>
        </w:rPr>
        <w:tab/>
      </w:r>
      <w:r>
        <w:rPr>
          <w:rFonts w:ascii="Verdana" w:hAnsi="Verdana"/>
          <w:sz w:val="18"/>
        </w:rPr>
        <w:tab/>
        <w:t xml:space="preserve"> 25,15</w:t>
      </w:r>
      <w:r>
        <w:rPr>
          <w:rFonts w:ascii="Verdana" w:hAnsi="Verdana"/>
          <w:sz w:val="18"/>
        </w:rPr>
        <w:tab/>
        <w:t>$/kg</w:t>
      </w:r>
    </w:p>
    <w:p w:rsidR="00E1595B" w:rsidRDefault="00E1595B"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B876BE" w:rsidRPr="00A348CF" w:rsidRDefault="00A348CF" w:rsidP="007A64E6">
      <w:pPr>
        <w:spacing w:before="120"/>
        <w:ind w:right="-2"/>
        <w:jc w:val="both"/>
        <w:rPr>
          <w:rFonts w:ascii="Verdana" w:hAnsi="Verdana"/>
          <w:b/>
          <w:sz w:val="18"/>
          <w:u w:val="single"/>
        </w:rPr>
      </w:pPr>
      <w:r w:rsidRPr="00A348CF">
        <w:rPr>
          <w:rFonts w:ascii="Verdana" w:hAnsi="Verdana"/>
          <w:b/>
          <w:sz w:val="18"/>
          <w:u w:val="single"/>
        </w:rPr>
        <w:t>12 – Commentaires</w:t>
      </w:r>
    </w:p>
    <w:p w:rsidR="00A348CF" w:rsidRDefault="00A348CF" w:rsidP="007A64E6">
      <w:pPr>
        <w:spacing w:before="120"/>
        <w:ind w:right="-2"/>
        <w:jc w:val="both"/>
        <w:rPr>
          <w:rFonts w:ascii="Verdana" w:hAnsi="Verdana"/>
          <w:sz w:val="18"/>
        </w:rPr>
      </w:pPr>
      <w:r>
        <w:rPr>
          <w:rFonts w:ascii="Verdana" w:hAnsi="Verdana"/>
          <w:sz w:val="18"/>
        </w:rPr>
        <w:t>A cours de cette analyse rapide et donc imparfaite, nous avons dû prendre de nombreuses hypothèses (certainement conservatrices pour certaines) qu’il conviendrait d’affiner.</w:t>
      </w:r>
    </w:p>
    <w:p w:rsidR="00A348CF" w:rsidRDefault="00A348CF" w:rsidP="007A64E6">
      <w:pPr>
        <w:spacing w:before="120"/>
        <w:ind w:right="-2"/>
        <w:jc w:val="both"/>
        <w:rPr>
          <w:rFonts w:ascii="Verdana" w:hAnsi="Verdana"/>
          <w:sz w:val="18"/>
        </w:rPr>
      </w:pPr>
      <w:r>
        <w:rPr>
          <w:rFonts w:ascii="Verdana" w:hAnsi="Verdana"/>
          <w:sz w:val="18"/>
        </w:rPr>
        <w:t xml:space="preserve">Nous manquons aussi de données fiables sur certains aspects du process. </w:t>
      </w:r>
    </w:p>
    <w:p w:rsidR="00511AC8" w:rsidRDefault="00511AC8" w:rsidP="007A64E6">
      <w:pPr>
        <w:spacing w:before="120"/>
        <w:ind w:right="-2"/>
        <w:jc w:val="both"/>
        <w:rPr>
          <w:rFonts w:ascii="Verdana" w:hAnsi="Verdana"/>
          <w:sz w:val="18"/>
        </w:rPr>
      </w:pPr>
      <w:r>
        <w:rPr>
          <w:rFonts w:ascii="Verdana" w:hAnsi="Verdana"/>
          <w:sz w:val="18"/>
        </w:rPr>
        <w:t>Il est certain que les prix annoncés dans cette note sont des estimations à +/- 15%</w:t>
      </w:r>
      <w:r w:rsidR="00CE6E52">
        <w:rPr>
          <w:rFonts w:ascii="Verdana" w:hAnsi="Verdana"/>
          <w:sz w:val="18"/>
        </w:rPr>
        <w:t>.</w:t>
      </w:r>
    </w:p>
    <w:p w:rsidR="00CE6E52" w:rsidRDefault="00CE6E52"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Je demande aux lecteurs de cette note de me faire leur retour afin qu’on puisse affiner cette estimation sur la base d’hypothèses partagées.</w:t>
      </w:r>
    </w:p>
    <w:p w:rsidR="00545673" w:rsidRDefault="00545673"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Enfin et pour conclure, dans nos échanges de vœux avec le Professeur Alec MITCHELL, à ma demande d’informations sur l’élaboration du Ti 10.2.3, il m’a simplement affirmé :</w:t>
      </w:r>
    </w:p>
    <w:p w:rsidR="00B876BE" w:rsidRPr="00CE6E52" w:rsidRDefault="00CE6E52" w:rsidP="007A64E6">
      <w:pPr>
        <w:spacing w:before="120"/>
        <w:ind w:right="-2"/>
        <w:jc w:val="both"/>
        <w:rPr>
          <w:rFonts w:ascii="Verdana" w:hAnsi="Verdana"/>
          <w:sz w:val="18"/>
        </w:rPr>
      </w:pPr>
      <w:r w:rsidRPr="00CE6E52">
        <w:rPr>
          <w:rFonts w:ascii="Verdana" w:hAnsi="Verdana"/>
          <w:sz w:val="18"/>
        </w:rPr>
        <w:t>« </w:t>
      </w:r>
      <w:r w:rsidRPr="00CE6E52">
        <w:rPr>
          <w:rFonts w:ascii="Verdana" w:hAnsi="Verdana"/>
          <w:sz w:val="18"/>
          <w:lang w:val="en-GB"/>
        </w:rPr>
        <w:t xml:space="preserve">Ti 10-2-3 is a very challenging alloy, </w:t>
      </w:r>
      <w:r w:rsidRPr="00CE6E52">
        <w:rPr>
          <w:rFonts w:ascii="Verdana" w:hAnsi="Verdana"/>
          <w:sz w:val="18"/>
          <w:u w:val="single"/>
          <w:lang w:val="en-GB"/>
        </w:rPr>
        <w:t>possibly the toughest Ti alloy to melt successfully</w:t>
      </w:r>
      <w:r w:rsidRPr="00CE6E52">
        <w:rPr>
          <w:rFonts w:ascii="Verdana" w:hAnsi="Verdana"/>
          <w:sz w:val="18"/>
          <w:lang w:val="en-GB"/>
        </w:rPr>
        <w:t>!</w:t>
      </w:r>
      <w:r w:rsidRPr="00CE6E52">
        <w:rPr>
          <w:rFonts w:ascii="Verdana" w:hAnsi="Verdana"/>
          <w:sz w:val="18"/>
        </w:rPr>
        <w:t> »</w:t>
      </w:r>
      <w:r w:rsidR="00FD575A">
        <w:rPr>
          <w:rFonts w:ascii="Verdana" w:hAnsi="Verdana"/>
          <w:sz w:val="18"/>
        </w:rPr>
        <w:t>.</w:t>
      </w:r>
    </w:p>
    <w:p w:rsidR="00B876BE" w:rsidRPr="00CE6E52" w:rsidRDefault="00CE6E52" w:rsidP="007A64E6">
      <w:pPr>
        <w:spacing w:before="120"/>
        <w:ind w:right="-2"/>
        <w:jc w:val="both"/>
        <w:rPr>
          <w:rFonts w:ascii="Verdana" w:hAnsi="Verdana"/>
          <w:sz w:val="18"/>
        </w:rPr>
      </w:pPr>
      <w:r w:rsidRPr="00CE6E52">
        <w:rPr>
          <w:rFonts w:ascii="Verdana" w:hAnsi="Verdana"/>
          <w:sz w:val="18"/>
        </w:rPr>
        <w:t>Nous avons prévu d’</w:t>
      </w:r>
      <w:r>
        <w:rPr>
          <w:rFonts w:ascii="Verdana" w:hAnsi="Verdana"/>
          <w:sz w:val="18"/>
        </w:rPr>
        <w:t>échanger sur ce sujet avec lui dans les semaines qui viennent.</w:t>
      </w:r>
    </w:p>
    <w:p w:rsidR="001651C7" w:rsidRPr="00CE6E52" w:rsidRDefault="001651C7"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9D08F3" w:rsidRPr="00CE6E52" w:rsidRDefault="009D08F3" w:rsidP="00DE7E10">
      <w:pPr>
        <w:spacing w:before="120"/>
        <w:ind w:right="-2"/>
        <w:jc w:val="both"/>
        <w:rPr>
          <w:rFonts w:ascii="Verdana" w:hAnsi="Verdana"/>
          <w:sz w:val="18"/>
        </w:rPr>
      </w:pPr>
      <w:bookmarkStart w:id="0" w:name="_GoBack"/>
      <w:bookmarkEnd w:id="0"/>
    </w:p>
    <w:sectPr w:rsidR="009D08F3" w:rsidRPr="00CE6E52">
      <w:headerReference w:type="default" r:id="rId8"/>
      <w:footerReference w:type="even" r:id="rId9"/>
      <w:footerReference w:type="default" r:id="rId10"/>
      <w:pgSz w:w="11906" w:h="16838" w:code="9"/>
      <w:pgMar w:top="2155" w:right="851" w:bottom="1259"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97" w:rsidRDefault="00D44697">
      <w:r>
        <w:separator/>
      </w:r>
    </w:p>
  </w:endnote>
  <w:endnote w:type="continuationSeparator" w:id="0">
    <w:p w:rsidR="00D44697" w:rsidRDefault="00D4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5731" w:rsidRDefault="005957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6172D">
      <w:rPr>
        <w:rStyle w:val="Numrodepage"/>
        <w:noProof/>
      </w:rPr>
      <w:t>6</w:t>
    </w:r>
    <w:r>
      <w:rPr>
        <w:rStyle w:val="Numrodepage"/>
      </w:rPr>
      <w:fldChar w:fldCharType="end"/>
    </w:r>
  </w:p>
  <w:p w:rsidR="00595731" w:rsidRDefault="00D429CB">
    <w:pPr>
      <w:pStyle w:val="Pieddepage"/>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-200660</wp:posOffset>
          </wp:positionV>
          <wp:extent cx="76200" cy="314325"/>
          <wp:effectExtent l="0" t="0" r="0" b="9525"/>
          <wp:wrapNone/>
          <wp:docPr id="20" name="Image 20" descr="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simplePos x="0" y="0"/>
          <wp:positionH relativeFrom="column">
            <wp:posOffset>5638800</wp:posOffset>
          </wp:positionH>
          <wp:positionV relativeFrom="paragraph">
            <wp:posOffset>-125095</wp:posOffset>
          </wp:positionV>
          <wp:extent cx="850900" cy="279400"/>
          <wp:effectExtent l="0" t="0" r="6350" b="6350"/>
          <wp:wrapNone/>
          <wp:docPr id="7" name="Image 7" descr="logo_E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RAM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97" w:rsidRDefault="00D44697">
      <w:r>
        <w:separator/>
      </w:r>
    </w:p>
  </w:footnote>
  <w:footnote w:type="continuationSeparator" w:id="0">
    <w:p w:rsidR="00D44697" w:rsidRDefault="00D44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D429CB">
    <w:pPr>
      <w:pStyle w:val="En-tte"/>
    </w:pPr>
    <w:r>
      <w:rPr>
        <w:noProof/>
      </w:rPr>
      <w:drawing>
        <wp:anchor distT="0" distB="0" distL="114300" distR="114300" simplePos="0" relativeHeight="251658240" behindDoc="1" locked="0" layoutInCell="0" allowOverlap="1">
          <wp:simplePos x="0" y="0"/>
          <wp:positionH relativeFrom="column">
            <wp:posOffset>3648075</wp:posOffset>
          </wp:positionH>
          <wp:positionV relativeFrom="paragraph">
            <wp:posOffset>-33020</wp:posOffset>
          </wp:positionV>
          <wp:extent cx="2486025" cy="438150"/>
          <wp:effectExtent l="0" t="0" r="9525" b="0"/>
          <wp:wrapNone/>
          <wp:docPr id="19" name="Image 19" descr="NI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simplePos x="0" y="0"/>
          <wp:positionH relativeFrom="column">
            <wp:posOffset>76200</wp:posOffset>
          </wp:positionH>
          <wp:positionV relativeFrom="paragraph">
            <wp:posOffset>-401955</wp:posOffset>
          </wp:positionV>
          <wp:extent cx="2578100" cy="1308100"/>
          <wp:effectExtent l="0" t="0" r="0" b="6350"/>
          <wp:wrapNone/>
          <wp:docPr id="5" name="Image 5" descr="logo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
      </v:shape>
    </w:pict>
  </w:numPicBullet>
  <w:abstractNum w:abstractNumId="0">
    <w:nsid w:val="00F324AF"/>
    <w:multiLevelType w:val="hybridMultilevel"/>
    <w:tmpl w:val="2B389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981D0E"/>
    <w:multiLevelType w:val="hybridMultilevel"/>
    <w:tmpl w:val="1D521D84"/>
    <w:lvl w:ilvl="0" w:tplc="124EB756">
      <w:start w:val="1"/>
      <w:numFmt w:val="bullet"/>
      <w:lvlText w:val=""/>
      <w:lvlJc w:val="left"/>
      <w:pPr>
        <w:tabs>
          <w:tab w:val="num" w:pos="360"/>
        </w:tabs>
        <w:ind w:left="360" w:hanging="360"/>
      </w:pPr>
      <w:rPr>
        <w:rFonts w:ascii="Symbol" w:hAnsi="Symbol" w:hint="default"/>
      </w:rPr>
    </w:lvl>
    <w:lvl w:ilvl="1" w:tplc="E274FAFA" w:tentative="1">
      <w:start w:val="1"/>
      <w:numFmt w:val="bullet"/>
      <w:lvlText w:val="o"/>
      <w:lvlJc w:val="left"/>
      <w:pPr>
        <w:tabs>
          <w:tab w:val="num" w:pos="1080"/>
        </w:tabs>
        <w:ind w:left="1080" w:hanging="360"/>
      </w:pPr>
      <w:rPr>
        <w:rFonts w:ascii="Courier New" w:hAnsi="Courier New" w:cs="Courier New" w:hint="default"/>
      </w:rPr>
    </w:lvl>
    <w:lvl w:ilvl="2" w:tplc="F9B2AAFC" w:tentative="1">
      <w:start w:val="1"/>
      <w:numFmt w:val="bullet"/>
      <w:lvlText w:val=""/>
      <w:lvlJc w:val="left"/>
      <w:pPr>
        <w:tabs>
          <w:tab w:val="num" w:pos="1800"/>
        </w:tabs>
        <w:ind w:left="1800" w:hanging="360"/>
      </w:pPr>
      <w:rPr>
        <w:rFonts w:ascii="Wingdings" w:hAnsi="Wingdings" w:hint="default"/>
      </w:rPr>
    </w:lvl>
    <w:lvl w:ilvl="3" w:tplc="2CC62BFE" w:tentative="1">
      <w:start w:val="1"/>
      <w:numFmt w:val="bullet"/>
      <w:lvlText w:val=""/>
      <w:lvlJc w:val="left"/>
      <w:pPr>
        <w:tabs>
          <w:tab w:val="num" w:pos="2520"/>
        </w:tabs>
        <w:ind w:left="2520" w:hanging="360"/>
      </w:pPr>
      <w:rPr>
        <w:rFonts w:ascii="Symbol" w:hAnsi="Symbol" w:hint="default"/>
      </w:rPr>
    </w:lvl>
    <w:lvl w:ilvl="4" w:tplc="F4786A98" w:tentative="1">
      <w:start w:val="1"/>
      <w:numFmt w:val="bullet"/>
      <w:lvlText w:val="o"/>
      <w:lvlJc w:val="left"/>
      <w:pPr>
        <w:tabs>
          <w:tab w:val="num" w:pos="3240"/>
        </w:tabs>
        <w:ind w:left="3240" w:hanging="360"/>
      </w:pPr>
      <w:rPr>
        <w:rFonts w:ascii="Courier New" w:hAnsi="Courier New" w:cs="Courier New" w:hint="default"/>
      </w:rPr>
    </w:lvl>
    <w:lvl w:ilvl="5" w:tplc="D6CCD4E8" w:tentative="1">
      <w:start w:val="1"/>
      <w:numFmt w:val="bullet"/>
      <w:lvlText w:val=""/>
      <w:lvlJc w:val="left"/>
      <w:pPr>
        <w:tabs>
          <w:tab w:val="num" w:pos="3960"/>
        </w:tabs>
        <w:ind w:left="3960" w:hanging="360"/>
      </w:pPr>
      <w:rPr>
        <w:rFonts w:ascii="Wingdings" w:hAnsi="Wingdings" w:hint="default"/>
      </w:rPr>
    </w:lvl>
    <w:lvl w:ilvl="6" w:tplc="415A8BB6" w:tentative="1">
      <w:start w:val="1"/>
      <w:numFmt w:val="bullet"/>
      <w:lvlText w:val=""/>
      <w:lvlJc w:val="left"/>
      <w:pPr>
        <w:tabs>
          <w:tab w:val="num" w:pos="4680"/>
        </w:tabs>
        <w:ind w:left="4680" w:hanging="360"/>
      </w:pPr>
      <w:rPr>
        <w:rFonts w:ascii="Symbol" w:hAnsi="Symbol" w:hint="default"/>
      </w:rPr>
    </w:lvl>
    <w:lvl w:ilvl="7" w:tplc="70D41922" w:tentative="1">
      <w:start w:val="1"/>
      <w:numFmt w:val="bullet"/>
      <w:lvlText w:val="o"/>
      <w:lvlJc w:val="left"/>
      <w:pPr>
        <w:tabs>
          <w:tab w:val="num" w:pos="5400"/>
        </w:tabs>
        <w:ind w:left="5400" w:hanging="360"/>
      </w:pPr>
      <w:rPr>
        <w:rFonts w:ascii="Courier New" w:hAnsi="Courier New" w:cs="Courier New" w:hint="default"/>
      </w:rPr>
    </w:lvl>
    <w:lvl w:ilvl="8" w:tplc="76FAB79C" w:tentative="1">
      <w:start w:val="1"/>
      <w:numFmt w:val="bullet"/>
      <w:lvlText w:val=""/>
      <w:lvlJc w:val="left"/>
      <w:pPr>
        <w:tabs>
          <w:tab w:val="num" w:pos="6120"/>
        </w:tabs>
        <w:ind w:left="6120" w:hanging="360"/>
      </w:pPr>
      <w:rPr>
        <w:rFonts w:ascii="Wingdings" w:hAnsi="Wingdings" w:hint="default"/>
      </w:rPr>
    </w:lvl>
  </w:abstractNum>
  <w:abstractNum w:abstractNumId="2">
    <w:nsid w:val="168F1803"/>
    <w:multiLevelType w:val="hybridMultilevel"/>
    <w:tmpl w:val="ADA0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21B97"/>
    <w:multiLevelType w:val="hybridMultilevel"/>
    <w:tmpl w:val="593A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2238A7"/>
    <w:multiLevelType w:val="hybridMultilevel"/>
    <w:tmpl w:val="4D982FA4"/>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6F71D7B"/>
    <w:multiLevelType w:val="hybridMultilevel"/>
    <w:tmpl w:val="57EE9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CF5527"/>
    <w:multiLevelType w:val="hybridMultilevel"/>
    <w:tmpl w:val="25AEF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89633D"/>
    <w:multiLevelType w:val="hybridMultilevel"/>
    <w:tmpl w:val="BB345CCE"/>
    <w:lvl w:ilvl="0" w:tplc="AA286F3C">
      <w:start w:val="1"/>
      <w:numFmt w:val="bullet"/>
      <w:lvlText w:val=""/>
      <w:lvlJc w:val="left"/>
      <w:pPr>
        <w:tabs>
          <w:tab w:val="num" w:pos="360"/>
        </w:tabs>
        <w:ind w:left="360" w:hanging="360"/>
      </w:pPr>
      <w:rPr>
        <w:rFonts w:ascii="Symbol" w:hAnsi="Symbol" w:hint="default"/>
      </w:rPr>
    </w:lvl>
    <w:lvl w:ilvl="1" w:tplc="B658D8E6" w:tentative="1">
      <w:start w:val="1"/>
      <w:numFmt w:val="bullet"/>
      <w:lvlText w:val="o"/>
      <w:lvlJc w:val="left"/>
      <w:pPr>
        <w:tabs>
          <w:tab w:val="num" w:pos="1080"/>
        </w:tabs>
        <w:ind w:left="1080" w:hanging="360"/>
      </w:pPr>
      <w:rPr>
        <w:rFonts w:ascii="Courier New" w:hAnsi="Courier New" w:cs="Courier New" w:hint="default"/>
      </w:rPr>
    </w:lvl>
    <w:lvl w:ilvl="2" w:tplc="7ACECDBE" w:tentative="1">
      <w:start w:val="1"/>
      <w:numFmt w:val="bullet"/>
      <w:lvlText w:val=""/>
      <w:lvlJc w:val="left"/>
      <w:pPr>
        <w:tabs>
          <w:tab w:val="num" w:pos="1800"/>
        </w:tabs>
        <w:ind w:left="1800" w:hanging="360"/>
      </w:pPr>
      <w:rPr>
        <w:rFonts w:ascii="Wingdings" w:hAnsi="Wingdings" w:hint="default"/>
      </w:rPr>
    </w:lvl>
    <w:lvl w:ilvl="3" w:tplc="B26C65FA" w:tentative="1">
      <w:start w:val="1"/>
      <w:numFmt w:val="bullet"/>
      <w:lvlText w:val=""/>
      <w:lvlJc w:val="left"/>
      <w:pPr>
        <w:tabs>
          <w:tab w:val="num" w:pos="2520"/>
        </w:tabs>
        <w:ind w:left="2520" w:hanging="360"/>
      </w:pPr>
      <w:rPr>
        <w:rFonts w:ascii="Symbol" w:hAnsi="Symbol" w:hint="default"/>
      </w:rPr>
    </w:lvl>
    <w:lvl w:ilvl="4" w:tplc="9522AF56" w:tentative="1">
      <w:start w:val="1"/>
      <w:numFmt w:val="bullet"/>
      <w:lvlText w:val="o"/>
      <w:lvlJc w:val="left"/>
      <w:pPr>
        <w:tabs>
          <w:tab w:val="num" w:pos="3240"/>
        </w:tabs>
        <w:ind w:left="3240" w:hanging="360"/>
      </w:pPr>
      <w:rPr>
        <w:rFonts w:ascii="Courier New" w:hAnsi="Courier New" w:cs="Courier New" w:hint="default"/>
      </w:rPr>
    </w:lvl>
    <w:lvl w:ilvl="5" w:tplc="F498EFDC" w:tentative="1">
      <w:start w:val="1"/>
      <w:numFmt w:val="bullet"/>
      <w:lvlText w:val=""/>
      <w:lvlJc w:val="left"/>
      <w:pPr>
        <w:tabs>
          <w:tab w:val="num" w:pos="3960"/>
        </w:tabs>
        <w:ind w:left="3960" w:hanging="360"/>
      </w:pPr>
      <w:rPr>
        <w:rFonts w:ascii="Wingdings" w:hAnsi="Wingdings" w:hint="default"/>
      </w:rPr>
    </w:lvl>
    <w:lvl w:ilvl="6" w:tplc="4B28AE48" w:tentative="1">
      <w:start w:val="1"/>
      <w:numFmt w:val="bullet"/>
      <w:lvlText w:val=""/>
      <w:lvlJc w:val="left"/>
      <w:pPr>
        <w:tabs>
          <w:tab w:val="num" w:pos="4680"/>
        </w:tabs>
        <w:ind w:left="4680" w:hanging="360"/>
      </w:pPr>
      <w:rPr>
        <w:rFonts w:ascii="Symbol" w:hAnsi="Symbol" w:hint="default"/>
      </w:rPr>
    </w:lvl>
    <w:lvl w:ilvl="7" w:tplc="88AA61AC" w:tentative="1">
      <w:start w:val="1"/>
      <w:numFmt w:val="bullet"/>
      <w:lvlText w:val="o"/>
      <w:lvlJc w:val="left"/>
      <w:pPr>
        <w:tabs>
          <w:tab w:val="num" w:pos="5400"/>
        </w:tabs>
        <w:ind w:left="5400" w:hanging="360"/>
      </w:pPr>
      <w:rPr>
        <w:rFonts w:ascii="Courier New" w:hAnsi="Courier New" w:cs="Courier New" w:hint="default"/>
      </w:rPr>
    </w:lvl>
    <w:lvl w:ilvl="8" w:tplc="888249F0" w:tentative="1">
      <w:start w:val="1"/>
      <w:numFmt w:val="bullet"/>
      <w:lvlText w:val=""/>
      <w:lvlJc w:val="left"/>
      <w:pPr>
        <w:tabs>
          <w:tab w:val="num" w:pos="6120"/>
        </w:tabs>
        <w:ind w:left="6120" w:hanging="360"/>
      </w:pPr>
      <w:rPr>
        <w:rFonts w:ascii="Wingdings" w:hAnsi="Wingdings" w:hint="default"/>
      </w:rPr>
    </w:lvl>
  </w:abstractNum>
  <w:abstractNum w:abstractNumId="8">
    <w:nsid w:val="44512B73"/>
    <w:multiLevelType w:val="hybridMultilevel"/>
    <w:tmpl w:val="4ADC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E25950"/>
    <w:multiLevelType w:val="hybridMultilevel"/>
    <w:tmpl w:val="31028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5F1C2D"/>
    <w:multiLevelType w:val="hybridMultilevel"/>
    <w:tmpl w:val="2312C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C96432"/>
    <w:multiLevelType w:val="hybridMultilevel"/>
    <w:tmpl w:val="5EC89E8C"/>
    <w:lvl w:ilvl="0" w:tplc="9128151A">
      <w:start w:val="1"/>
      <w:numFmt w:val="bullet"/>
      <w:lvlText w:val=""/>
      <w:lvlJc w:val="left"/>
      <w:pPr>
        <w:tabs>
          <w:tab w:val="num" w:pos="720"/>
        </w:tabs>
        <w:ind w:left="720" w:hanging="360"/>
      </w:pPr>
      <w:rPr>
        <w:rFonts w:ascii="Symbol" w:hAnsi="Symbol" w:hint="default"/>
      </w:rPr>
    </w:lvl>
    <w:lvl w:ilvl="1" w:tplc="E45E7564" w:tentative="1">
      <w:start w:val="1"/>
      <w:numFmt w:val="bullet"/>
      <w:lvlText w:val="o"/>
      <w:lvlJc w:val="left"/>
      <w:pPr>
        <w:tabs>
          <w:tab w:val="num" w:pos="1440"/>
        </w:tabs>
        <w:ind w:left="1440" w:hanging="360"/>
      </w:pPr>
      <w:rPr>
        <w:rFonts w:ascii="Courier New" w:hAnsi="Courier New" w:cs="Courier New" w:hint="default"/>
      </w:rPr>
    </w:lvl>
    <w:lvl w:ilvl="2" w:tplc="0D8638AC" w:tentative="1">
      <w:start w:val="1"/>
      <w:numFmt w:val="bullet"/>
      <w:lvlText w:val=""/>
      <w:lvlJc w:val="left"/>
      <w:pPr>
        <w:tabs>
          <w:tab w:val="num" w:pos="2160"/>
        </w:tabs>
        <w:ind w:left="2160" w:hanging="360"/>
      </w:pPr>
      <w:rPr>
        <w:rFonts w:ascii="Wingdings" w:hAnsi="Wingdings" w:hint="default"/>
      </w:rPr>
    </w:lvl>
    <w:lvl w:ilvl="3" w:tplc="8DBC0BB4" w:tentative="1">
      <w:start w:val="1"/>
      <w:numFmt w:val="bullet"/>
      <w:lvlText w:val=""/>
      <w:lvlJc w:val="left"/>
      <w:pPr>
        <w:tabs>
          <w:tab w:val="num" w:pos="2880"/>
        </w:tabs>
        <w:ind w:left="2880" w:hanging="360"/>
      </w:pPr>
      <w:rPr>
        <w:rFonts w:ascii="Symbol" w:hAnsi="Symbol" w:hint="default"/>
      </w:rPr>
    </w:lvl>
    <w:lvl w:ilvl="4" w:tplc="62B66CF0" w:tentative="1">
      <w:start w:val="1"/>
      <w:numFmt w:val="bullet"/>
      <w:lvlText w:val="o"/>
      <w:lvlJc w:val="left"/>
      <w:pPr>
        <w:tabs>
          <w:tab w:val="num" w:pos="3600"/>
        </w:tabs>
        <w:ind w:left="3600" w:hanging="360"/>
      </w:pPr>
      <w:rPr>
        <w:rFonts w:ascii="Courier New" w:hAnsi="Courier New" w:cs="Courier New" w:hint="default"/>
      </w:rPr>
    </w:lvl>
    <w:lvl w:ilvl="5" w:tplc="BE6473EA" w:tentative="1">
      <w:start w:val="1"/>
      <w:numFmt w:val="bullet"/>
      <w:lvlText w:val=""/>
      <w:lvlJc w:val="left"/>
      <w:pPr>
        <w:tabs>
          <w:tab w:val="num" w:pos="4320"/>
        </w:tabs>
        <w:ind w:left="4320" w:hanging="360"/>
      </w:pPr>
      <w:rPr>
        <w:rFonts w:ascii="Wingdings" w:hAnsi="Wingdings" w:hint="default"/>
      </w:rPr>
    </w:lvl>
    <w:lvl w:ilvl="6" w:tplc="483CA4EC" w:tentative="1">
      <w:start w:val="1"/>
      <w:numFmt w:val="bullet"/>
      <w:lvlText w:val=""/>
      <w:lvlJc w:val="left"/>
      <w:pPr>
        <w:tabs>
          <w:tab w:val="num" w:pos="5040"/>
        </w:tabs>
        <w:ind w:left="5040" w:hanging="360"/>
      </w:pPr>
      <w:rPr>
        <w:rFonts w:ascii="Symbol" w:hAnsi="Symbol" w:hint="default"/>
      </w:rPr>
    </w:lvl>
    <w:lvl w:ilvl="7" w:tplc="7988DAE4" w:tentative="1">
      <w:start w:val="1"/>
      <w:numFmt w:val="bullet"/>
      <w:lvlText w:val="o"/>
      <w:lvlJc w:val="left"/>
      <w:pPr>
        <w:tabs>
          <w:tab w:val="num" w:pos="5760"/>
        </w:tabs>
        <w:ind w:left="5760" w:hanging="360"/>
      </w:pPr>
      <w:rPr>
        <w:rFonts w:ascii="Courier New" w:hAnsi="Courier New" w:cs="Courier New" w:hint="default"/>
      </w:rPr>
    </w:lvl>
    <w:lvl w:ilvl="8" w:tplc="FBC2D510" w:tentative="1">
      <w:start w:val="1"/>
      <w:numFmt w:val="bullet"/>
      <w:lvlText w:val=""/>
      <w:lvlJc w:val="left"/>
      <w:pPr>
        <w:tabs>
          <w:tab w:val="num" w:pos="6480"/>
        </w:tabs>
        <w:ind w:left="6480" w:hanging="360"/>
      </w:pPr>
      <w:rPr>
        <w:rFonts w:ascii="Wingdings" w:hAnsi="Wingdings" w:hint="default"/>
      </w:rPr>
    </w:lvl>
  </w:abstractNum>
  <w:abstractNum w:abstractNumId="12">
    <w:nsid w:val="6C4A2504"/>
    <w:multiLevelType w:val="hybridMultilevel"/>
    <w:tmpl w:val="778470CC"/>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64B7135"/>
    <w:multiLevelType w:val="hybridMultilevel"/>
    <w:tmpl w:val="83721708"/>
    <w:lvl w:ilvl="0" w:tplc="B3429058">
      <w:start w:val="1"/>
      <w:numFmt w:val="bullet"/>
      <w:lvlText w:val=""/>
      <w:lvlJc w:val="left"/>
      <w:pPr>
        <w:tabs>
          <w:tab w:val="num" w:pos="720"/>
        </w:tabs>
        <w:ind w:left="720" w:hanging="360"/>
      </w:pPr>
      <w:rPr>
        <w:rFonts w:ascii="Symbol" w:hAnsi="Symbol" w:hint="default"/>
      </w:rPr>
    </w:lvl>
    <w:lvl w:ilvl="1" w:tplc="F3606E8A" w:tentative="1">
      <w:start w:val="1"/>
      <w:numFmt w:val="bullet"/>
      <w:lvlText w:val="o"/>
      <w:lvlJc w:val="left"/>
      <w:pPr>
        <w:tabs>
          <w:tab w:val="num" w:pos="1440"/>
        </w:tabs>
        <w:ind w:left="1440" w:hanging="360"/>
      </w:pPr>
      <w:rPr>
        <w:rFonts w:ascii="Courier New" w:hAnsi="Courier New" w:cs="Courier New" w:hint="default"/>
      </w:rPr>
    </w:lvl>
    <w:lvl w:ilvl="2" w:tplc="454ABD48" w:tentative="1">
      <w:start w:val="1"/>
      <w:numFmt w:val="bullet"/>
      <w:lvlText w:val=""/>
      <w:lvlJc w:val="left"/>
      <w:pPr>
        <w:tabs>
          <w:tab w:val="num" w:pos="2160"/>
        </w:tabs>
        <w:ind w:left="2160" w:hanging="360"/>
      </w:pPr>
      <w:rPr>
        <w:rFonts w:ascii="Wingdings" w:hAnsi="Wingdings" w:hint="default"/>
      </w:rPr>
    </w:lvl>
    <w:lvl w:ilvl="3" w:tplc="283E173C" w:tentative="1">
      <w:start w:val="1"/>
      <w:numFmt w:val="bullet"/>
      <w:lvlText w:val=""/>
      <w:lvlJc w:val="left"/>
      <w:pPr>
        <w:tabs>
          <w:tab w:val="num" w:pos="2880"/>
        </w:tabs>
        <w:ind w:left="2880" w:hanging="360"/>
      </w:pPr>
      <w:rPr>
        <w:rFonts w:ascii="Symbol" w:hAnsi="Symbol" w:hint="default"/>
      </w:rPr>
    </w:lvl>
    <w:lvl w:ilvl="4" w:tplc="9EB8A39A" w:tentative="1">
      <w:start w:val="1"/>
      <w:numFmt w:val="bullet"/>
      <w:lvlText w:val="o"/>
      <w:lvlJc w:val="left"/>
      <w:pPr>
        <w:tabs>
          <w:tab w:val="num" w:pos="3600"/>
        </w:tabs>
        <w:ind w:left="3600" w:hanging="360"/>
      </w:pPr>
      <w:rPr>
        <w:rFonts w:ascii="Courier New" w:hAnsi="Courier New" w:cs="Courier New" w:hint="default"/>
      </w:rPr>
    </w:lvl>
    <w:lvl w:ilvl="5" w:tplc="C21AF28A" w:tentative="1">
      <w:start w:val="1"/>
      <w:numFmt w:val="bullet"/>
      <w:lvlText w:val=""/>
      <w:lvlJc w:val="left"/>
      <w:pPr>
        <w:tabs>
          <w:tab w:val="num" w:pos="4320"/>
        </w:tabs>
        <w:ind w:left="4320" w:hanging="360"/>
      </w:pPr>
      <w:rPr>
        <w:rFonts w:ascii="Wingdings" w:hAnsi="Wingdings" w:hint="default"/>
      </w:rPr>
    </w:lvl>
    <w:lvl w:ilvl="6" w:tplc="60983752" w:tentative="1">
      <w:start w:val="1"/>
      <w:numFmt w:val="bullet"/>
      <w:lvlText w:val=""/>
      <w:lvlJc w:val="left"/>
      <w:pPr>
        <w:tabs>
          <w:tab w:val="num" w:pos="5040"/>
        </w:tabs>
        <w:ind w:left="5040" w:hanging="360"/>
      </w:pPr>
      <w:rPr>
        <w:rFonts w:ascii="Symbol" w:hAnsi="Symbol" w:hint="default"/>
      </w:rPr>
    </w:lvl>
    <w:lvl w:ilvl="7" w:tplc="91501172" w:tentative="1">
      <w:start w:val="1"/>
      <w:numFmt w:val="bullet"/>
      <w:lvlText w:val="o"/>
      <w:lvlJc w:val="left"/>
      <w:pPr>
        <w:tabs>
          <w:tab w:val="num" w:pos="5760"/>
        </w:tabs>
        <w:ind w:left="5760" w:hanging="360"/>
      </w:pPr>
      <w:rPr>
        <w:rFonts w:ascii="Courier New" w:hAnsi="Courier New" w:cs="Courier New" w:hint="default"/>
      </w:rPr>
    </w:lvl>
    <w:lvl w:ilvl="8" w:tplc="A09CFA76" w:tentative="1">
      <w:start w:val="1"/>
      <w:numFmt w:val="bullet"/>
      <w:lvlText w:val=""/>
      <w:lvlJc w:val="left"/>
      <w:pPr>
        <w:tabs>
          <w:tab w:val="num" w:pos="6480"/>
        </w:tabs>
        <w:ind w:left="6480" w:hanging="360"/>
      </w:pPr>
      <w:rPr>
        <w:rFonts w:ascii="Wingdings" w:hAnsi="Wingdings" w:hint="default"/>
      </w:rPr>
    </w:lvl>
  </w:abstractNum>
  <w:abstractNum w:abstractNumId="14">
    <w:nsid w:val="79A32481"/>
    <w:multiLevelType w:val="hybridMultilevel"/>
    <w:tmpl w:val="28D61C60"/>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C87257B"/>
    <w:multiLevelType w:val="hybridMultilevel"/>
    <w:tmpl w:val="3C1E9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
  </w:num>
  <w:num w:numId="5">
    <w:abstractNumId w:val="12"/>
  </w:num>
  <w:num w:numId="6">
    <w:abstractNumId w:val="14"/>
  </w:num>
  <w:num w:numId="7">
    <w:abstractNumId w:val="4"/>
  </w:num>
  <w:num w:numId="8">
    <w:abstractNumId w:val="0"/>
  </w:num>
  <w:num w:numId="9">
    <w:abstractNumId w:val="15"/>
  </w:num>
  <w:num w:numId="10">
    <w:abstractNumId w:val="10"/>
  </w:num>
  <w:num w:numId="11">
    <w:abstractNumId w:val="6"/>
  </w:num>
  <w:num w:numId="12">
    <w:abstractNumId w:val="2"/>
  </w:num>
  <w:num w:numId="13">
    <w:abstractNumId w:val="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CD"/>
    <w:rsid w:val="00031B51"/>
    <w:rsid w:val="000320F9"/>
    <w:rsid w:val="00084B3E"/>
    <w:rsid w:val="000958EE"/>
    <w:rsid w:val="000C564E"/>
    <w:rsid w:val="000D7334"/>
    <w:rsid w:val="000E0F0C"/>
    <w:rsid w:val="000E2586"/>
    <w:rsid w:val="000E3BC5"/>
    <w:rsid w:val="00154FA4"/>
    <w:rsid w:val="001651C7"/>
    <w:rsid w:val="00174ACA"/>
    <w:rsid w:val="001A4FBB"/>
    <w:rsid w:val="001F2DF8"/>
    <w:rsid w:val="0026172D"/>
    <w:rsid w:val="00325C84"/>
    <w:rsid w:val="0033348C"/>
    <w:rsid w:val="00334496"/>
    <w:rsid w:val="00434CB2"/>
    <w:rsid w:val="0045165C"/>
    <w:rsid w:val="00460134"/>
    <w:rsid w:val="00484523"/>
    <w:rsid w:val="00490ED1"/>
    <w:rsid w:val="0049282D"/>
    <w:rsid w:val="004E091C"/>
    <w:rsid w:val="004E189B"/>
    <w:rsid w:val="00511AC8"/>
    <w:rsid w:val="00545673"/>
    <w:rsid w:val="0059394F"/>
    <w:rsid w:val="00595731"/>
    <w:rsid w:val="005A540F"/>
    <w:rsid w:val="00601703"/>
    <w:rsid w:val="006A1359"/>
    <w:rsid w:val="0074475F"/>
    <w:rsid w:val="007A64E6"/>
    <w:rsid w:val="007F4B3E"/>
    <w:rsid w:val="007F5B57"/>
    <w:rsid w:val="00843CCD"/>
    <w:rsid w:val="008A0D45"/>
    <w:rsid w:val="008D056A"/>
    <w:rsid w:val="008D09C4"/>
    <w:rsid w:val="00982DDB"/>
    <w:rsid w:val="00997154"/>
    <w:rsid w:val="009D08F3"/>
    <w:rsid w:val="009D38D9"/>
    <w:rsid w:val="00A30172"/>
    <w:rsid w:val="00A348CF"/>
    <w:rsid w:val="00A54988"/>
    <w:rsid w:val="00A67D31"/>
    <w:rsid w:val="00AD271E"/>
    <w:rsid w:val="00AF4898"/>
    <w:rsid w:val="00B24ABE"/>
    <w:rsid w:val="00B353C1"/>
    <w:rsid w:val="00B86D4D"/>
    <w:rsid w:val="00B876BE"/>
    <w:rsid w:val="00BD5253"/>
    <w:rsid w:val="00C2741E"/>
    <w:rsid w:val="00C55979"/>
    <w:rsid w:val="00CD58A7"/>
    <w:rsid w:val="00CE6E52"/>
    <w:rsid w:val="00D37EA0"/>
    <w:rsid w:val="00D429CB"/>
    <w:rsid w:val="00D44697"/>
    <w:rsid w:val="00D514FF"/>
    <w:rsid w:val="00D652E7"/>
    <w:rsid w:val="00DE7E10"/>
    <w:rsid w:val="00E03DE6"/>
    <w:rsid w:val="00E1595B"/>
    <w:rsid w:val="00E5587C"/>
    <w:rsid w:val="00E6641E"/>
    <w:rsid w:val="00EA44B1"/>
    <w:rsid w:val="00F13902"/>
    <w:rsid w:val="00F44C09"/>
    <w:rsid w:val="00F5389A"/>
    <w:rsid w:val="00F72EC0"/>
    <w:rsid w:val="00FB7CBE"/>
    <w:rsid w:val="00FD575A"/>
    <w:rsid w:val="00FF2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5032">
      <w:bodyDiv w:val="1"/>
      <w:marLeft w:val="0"/>
      <w:marRight w:val="0"/>
      <w:marTop w:val="0"/>
      <w:marBottom w:val="0"/>
      <w:divBdr>
        <w:top w:val="none" w:sz="0" w:space="0" w:color="auto"/>
        <w:left w:val="none" w:sz="0" w:space="0" w:color="auto"/>
        <w:bottom w:val="none" w:sz="0" w:space="0" w:color="auto"/>
        <w:right w:val="none" w:sz="0" w:space="0" w:color="auto"/>
      </w:divBdr>
    </w:div>
    <w:div w:id="10512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9825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Page</vt:lpstr>
    </vt:vector>
  </TitlesOfParts>
  <Company>***</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dc:creator>
  <cp:lastModifiedBy>Patrick Delaborde</cp:lastModifiedBy>
  <cp:revision>2</cp:revision>
  <cp:lastPrinted>2004-06-23T13:44:00Z</cp:lastPrinted>
  <dcterms:created xsi:type="dcterms:W3CDTF">2014-01-20T16:40:00Z</dcterms:created>
  <dcterms:modified xsi:type="dcterms:W3CDTF">2014-01-20T16:40:00Z</dcterms:modified>
</cp:coreProperties>
</file>